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8177" w:type="dxa"/>
        <w:jc w:val="center"/>
        <w:tblLayout w:type="autofit"/>
        <w:tblCellMar>
          <w:top w:w="0" w:type="dxa"/>
          <w:left w:w="108" w:type="dxa"/>
          <w:bottom w:w="0" w:type="dxa"/>
          <w:right w:w="108" w:type="dxa"/>
        </w:tblCellMar>
      </w:tblPr>
      <w:tblGrid>
        <w:gridCol w:w="8177"/>
      </w:tblGrid>
      <w:tr w14:paraId="6DA67128">
        <w:tblPrEx>
          <w:tblCellMar>
            <w:top w:w="0" w:type="dxa"/>
            <w:left w:w="108" w:type="dxa"/>
            <w:bottom w:w="0" w:type="dxa"/>
            <w:right w:w="108" w:type="dxa"/>
          </w:tblCellMar>
        </w:tblPrEx>
        <w:trPr>
          <w:trHeight w:val="1701" w:hRule="atLeast"/>
          <w:jc w:val="center"/>
        </w:trPr>
        <w:tc>
          <w:tcPr>
            <w:tcW w:w="8177" w:type="dxa"/>
            <w:vAlign w:val="center"/>
          </w:tcPr>
          <w:p w14:paraId="0FB86E75">
            <w:pPr>
              <w:spacing w:line="360" w:lineRule="auto"/>
              <w:jc w:val="center"/>
              <w:rPr>
                <w:rFonts w:eastAsia="黑体"/>
                <w:spacing w:val="20"/>
                <w:sz w:val="32"/>
                <w:szCs w:val="32"/>
              </w:rPr>
            </w:pPr>
            <w:r>
              <w:rPr>
                <w:rFonts w:hint="eastAsia" w:eastAsia="黑体"/>
                <w:spacing w:val="20"/>
                <w:sz w:val="32"/>
              </w:rPr>
              <w:t>中国核学会</w:t>
            </w:r>
            <w:r>
              <w:rPr>
                <w:rFonts w:eastAsia="黑体"/>
                <w:spacing w:val="20"/>
                <w:sz w:val="32"/>
              </w:rPr>
              <w:t>标准</w:t>
            </w:r>
          </w:p>
        </w:tc>
      </w:tr>
      <w:tr w14:paraId="1DF46A9C">
        <w:tblPrEx>
          <w:tblCellMar>
            <w:top w:w="0" w:type="dxa"/>
            <w:left w:w="108" w:type="dxa"/>
            <w:bottom w:w="0" w:type="dxa"/>
            <w:right w:w="108" w:type="dxa"/>
          </w:tblCellMar>
        </w:tblPrEx>
        <w:trPr>
          <w:trHeight w:val="4535" w:hRule="atLeast"/>
          <w:jc w:val="center"/>
        </w:trPr>
        <w:tc>
          <w:tcPr>
            <w:tcW w:w="8177" w:type="dxa"/>
            <w:vAlign w:val="center"/>
          </w:tcPr>
          <w:p w14:paraId="75D43A70">
            <w:pPr>
              <w:spacing w:line="720" w:lineRule="auto"/>
              <w:jc w:val="center"/>
              <w:rPr>
                <w:rFonts w:hint="eastAsia" w:eastAsia="黑体" w:cs="黑体"/>
                <w:spacing w:val="20"/>
                <w:sz w:val="44"/>
                <w:szCs w:val="44"/>
              </w:rPr>
            </w:pPr>
            <w:r>
              <w:rPr>
                <w:rFonts w:hint="eastAsia" w:eastAsia="黑体" w:cs="黑体"/>
                <w:spacing w:val="20"/>
                <w:sz w:val="44"/>
                <w:szCs w:val="44"/>
              </w:rPr>
              <w:t>高温气冷堆核动力厂</w:t>
            </w:r>
          </w:p>
          <w:p w14:paraId="4DF319D9">
            <w:pPr>
              <w:spacing w:line="720" w:lineRule="auto"/>
              <w:jc w:val="center"/>
              <w:rPr>
                <w:rFonts w:eastAsia="黑体" w:cs="黑体"/>
                <w:spacing w:val="20"/>
                <w:sz w:val="44"/>
                <w:szCs w:val="44"/>
              </w:rPr>
            </w:pPr>
            <w:r>
              <w:rPr>
                <w:rFonts w:hint="eastAsia" w:eastAsia="黑体" w:cs="黑体"/>
                <w:spacing w:val="20"/>
                <w:sz w:val="44"/>
                <w:szCs w:val="44"/>
              </w:rPr>
              <w:t>多样性触发系统技术要求</w:t>
            </w:r>
          </w:p>
          <w:p w14:paraId="569D3F3C">
            <w:pPr>
              <w:spacing w:line="720" w:lineRule="auto"/>
              <w:jc w:val="center"/>
              <w:rPr>
                <w:rFonts w:eastAsia="黑体"/>
                <w:spacing w:val="20"/>
                <w:sz w:val="44"/>
                <w:szCs w:val="44"/>
              </w:rPr>
            </w:pPr>
            <w:r>
              <w:rPr>
                <w:rFonts w:hint="eastAsia" w:eastAsia="黑体" w:cs="黑体"/>
                <w:spacing w:val="20"/>
                <w:sz w:val="44"/>
                <w:szCs w:val="44"/>
              </w:rPr>
              <w:t>（征求意见稿）</w:t>
            </w:r>
          </w:p>
        </w:tc>
      </w:tr>
      <w:tr w14:paraId="3BF0937C">
        <w:tblPrEx>
          <w:tblCellMar>
            <w:top w:w="0" w:type="dxa"/>
            <w:left w:w="108" w:type="dxa"/>
            <w:bottom w:w="0" w:type="dxa"/>
            <w:right w:w="108" w:type="dxa"/>
          </w:tblCellMar>
        </w:tblPrEx>
        <w:trPr>
          <w:trHeight w:val="4535" w:hRule="atLeast"/>
          <w:jc w:val="center"/>
        </w:trPr>
        <w:tc>
          <w:tcPr>
            <w:tcW w:w="8177" w:type="dxa"/>
            <w:vAlign w:val="center"/>
          </w:tcPr>
          <w:p w14:paraId="2DD01FED">
            <w:pPr>
              <w:spacing w:line="360" w:lineRule="auto"/>
              <w:jc w:val="center"/>
              <w:rPr>
                <w:rFonts w:eastAsia="黑体"/>
                <w:spacing w:val="20"/>
                <w:sz w:val="44"/>
                <w:szCs w:val="44"/>
              </w:rPr>
            </w:pPr>
            <w:r>
              <w:rPr>
                <w:rFonts w:hint="eastAsia" w:eastAsia="黑体"/>
                <w:spacing w:val="20"/>
                <w:sz w:val="44"/>
                <w:szCs w:val="32"/>
              </w:rPr>
              <w:t>编制说明</w:t>
            </w:r>
          </w:p>
        </w:tc>
      </w:tr>
      <w:tr w14:paraId="122E4394">
        <w:tblPrEx>
          <w:tblCellMar>
            <w:top w:w="0" w:type="dxa"/>
            <w:left w:w="108" w:type="dxa"/>
            <w:bottom w:w="0" w:type="dxa"/>
            <w:right w:w="108" w:type="dxa"/>
          </w:tblCellMar>
        </w:tblPrEx>
        <w:trPr>
          <w:trHeight w:val="2835" w:hRule="atLeast"/>
          <w:jc w:val="center"/>
        </w:trPr>
        <w:tc>
          <w:tcPr>
            <w:tcW w:w="8177" w:type="dxa"/>
            <w:vAlign w:val="center"/>
          </w:tcPr>
          <w:p w14:paraId="3C65DD7F">
            <w:pPr>
              <w:spacing w:line="360" w:lineRule="auto"/>
              <w:jc w:val="center"/>
              <w:rPr>
                <w:rFonts w:eastAsia="黑体"/>
                <w:spacing w:val="20"/>
                <w:sz w:val="32"/>
              </w:rPr>
            </w:pPr>
            <w:r>
              <w:rPr>
                <w:rFonts w:hint="eastAsia" w:eastAsia="黑体"/>
                <w:spacing w:val="20"/>
                <w:sz w:val="32"/>
              </w:rPr>
              <w:t>清华大学核能与新能源技术研究院</w:t>
            </w:r>
          </w:p>
          <w:p w14:paraId="36B81488">
            <w:pPr>
              <w:spacing w:line="360" w:lineRule="auto"/>
              <w:jc w:val="center"/>
              <w:rPr>
                <w:rFonts w:eastAsia="黑体"/>
                <w:sz w:val="28"/>
                <w:szCs w:val="28"/>
              </w:rPr>
            </w:pPr>
            <w:r>
              <w:rPr>
                <w:rFonts w:eastAsia="黑体"/>
                <w:spacing w:val="20"/>
                <w:sz w:val="32"/>
              </w:rPr>
              <w:t>20</w:t>
            </w:r>
            <w:r>
              <w:rPr>
                <w:rFonts w:hint="eastAsia" w:eastAsia="黑体"/>
                <w:spacing w:val="20"/>
                <w:sz w:val="32"/>
              </w:rPr>
              <w:t>26年7月</w:t>
            </w:r>
          </w:p>
        </w:tc>
      </w:tr>
    </w:tbl>
    <w:p w14:paraId="486A32D6">
      <w:pPr>
        <w:snapToGrid w:val="0"/>
        <w:jc w:val="center"/>
        <w:rPr>
          <w:rFonts w:ascii="黑体" w:eastAsia="黑体"/>
          <w:spacing w:val="20"/>
          <w:sz w:val="30"/>
          <w:szCs w:val="30"/>
        </w:rPr>
        <w:sectPr>
          <w:footerReference r:id="rId3" w:type="default"/>
          <w:pgSz w:w="11906" w:h="16838"/>
          <w:pgMar w:top="1440" w:right="1800" w:bottom="1440" w:left="1800" w:header="851" w:footer="992" w:gutter="0"/>
          <w:cols w:space="425" w:num="1"/>
          <w:docGrid w:type="lines" w:linePitch="312" w:charSpace="0"/>
        </w:sectPr>
      </w:pPr>
    </w:p>
    <w:p w14:paraId="544A1A61">
      <w:pPr>
        <w:snapToGrid w:val="0"/>
        <w:jc w:val="center"/>
        <w:rPr>
          <w:rFonts w:ascii="黑体" w:eastAsia="黑体"/>
          <w:spacing w:val="20"/>
          <w:sz w:val="30"/>
          <w:szCs w:val="30"/>
        </w:rPr>
      </w:pPr>
    </w:p>
    <w:p w14:paraId="10C500EE">
      <w:pPr>
        <w:snapToGrid w:val="0"/>
        <w:jc w:val="center"/>
        <w:rPr>
          <w:rFonts w:ascii="黑体" w:eastAsia="黑体"/>
          <w:sz w:val="32"/>
          <w:szCs w:val="32"/>
        </w:rPr>
      </w:pPr>
      <w:r>
        <w:rPr>
          <w:rFonts w:hint="eastAsia" w:ascii="黑体" w:eastAsia="黑体"/>
          <w:spacing w:val="20"/>
          <w:sz w:val="32"/>
          <w:szCs w:val="30"/>
        </w:rPr>
        <w:t>高温气冷堆核动力厂多样性触发系统技术要求</w:t>
      </w:r>
    </w:p>
    <w:p w14:paraId="3525292A">
      <w:pPr>
        <w:numPr>
          <w:ilvl w:val="0"/>
          <w:numId w:val="1"/>
        </w:numPr>
        <w:spacing w:before="240" w:after="240" w:line="360" w:lineRule="auto"/>
        <w:rPr>
          <w:rFonts w:eastAsia="黑体"/>
          <w:sz w:val="28"/>
          <w:szCs w:val="28"/>
        </w:rPr>
      </w:pPr>
      <w:r>
        <w:rPr>
          <w:rFonts w:eastAsia="黑体"/>
          <w:sz w:val="28"/>
          <w:szCs w:val="28"/>
        </w:rPr>
        <w:t>任务来源及计划要求</w:t>
      </w:r>
    </w:p>
    <w:p w14:paraId="3BDFA1F1">
      <w:pPr>
        <w:spacing w:line="360" w:lineRule="auto"/>
        <w:ind w:firstLine="480" w:firstLineChars="200"/>
        <w:rPr>
          <w:rFonts w:ascii="宋体" w:hAnsi="宋体"/>
          <w:kern w:val="0"/>
          <w:sz w:val="24"/>
        </w:rPr>
      </w:pPr>
      <w:r>
        <w:rPr>
          <w:rFonts w:ascii="宋体" w:hAnsi="宋体"/>
          <w:kern w:val="0"/>
          <w:sz w:val="24"/>
          <w:lang w:val="zh-CN"/>
        </w:rPr>
        <w:t>本标准</w:t>
      </w:r>
      <w:r>
        <w:rPr>
          <w:rFonts w:hint="eastAsia" w:ascii="宋体" w:hAnsi="宋体"/>
          <w:kern w:val="0"/>
          <w:sz w:val="24"/>
          <w:lang w:val="zh-CN"/>
        </w:rPr>
        <w:t>制修订</w:t>
      </w:r>
      <w:r>
        <w:rPr>
          <w:rFonts w:ascii="宋体" w:hAnsi="宋体"/>
          <w:kern w:val="0"/>
          <w:sz w:val="24"/>
          <w:lang w:val="zh-CN"/>
        </w:rPr>
        <w:t>任务由</w:t>
      </w:r>
      <w:r>
        <w:rPr>
          <w:rFonts w:hint="eastAsia" w:ascii="宋体" w:hAnsi="宋体"/>
          <w:kern w:val="0"/>
          <w:sz w:val="24"/>
          <w:lang w:val="zh-CN"/>
        </w:rPr>
        <w:t>中国核学会《关于下达202</w:t>
      </w:r>
      <w:r>
        <w:rPr>
          <w:rFonts w:hint="eastAsia" w:ascii="宋体" w:hAnsi="宋体"/>
          <w:kern w:val="0"/>
          <w:sz w:val="24"/>
        </w:rPr>
        <w:t>6</w:t>
      </w:r>
      <w:r>
        <w:rPr>
          <w:rFonts w:hint="eastAsia" w:ascii="宋体" w:hAnsi="宋体"/>
          <w:kern w:val="0"/>
          <w:sz w:val="24"/>
          <w:lang w:val="zh-CN"/>
        </w:rPr>
        <w:t>年度第</w:t>
      </w:r>
      <w:r>
        <w:rPr>
          <w:rFonts w:hint="eastAsia" w:ascii="宋体" w:hAnsi="宋体"/>
          <w:kern w:val="0"/>
          <w:sz w:val="24"/>
        </w:rPr>
        <w:t>二</w:t>
      </w:r>
      <w:r>
        <w:rPr>
          <w:rFonts w:hint="eastAsia" w:ascii="宋体" w:hAnsi="宋体"/>
          <w:kern w:val="0"/>
          <w:sz w:val="24"/>
          <w:lang w:val="zh-CN"/>
        </w:rPr>
        <w:t>批核学会团体标准立项计划的通知》（中核学发</w:t>
      </w:r>
      <w:r>
        <w:rPr>
          <w:rFonts w:hint="eastAsia"/>
          <w:kern w:val="0"/>
          <w:lang w:val="en-US" w:eastAsia="zh-CN"/>
        </w:rPr>
        <w:t>〔</w:t>
      </w:r>
      <w:r>
        <w:rPr>
          <w:rFonts w:hint="eastAsia" w:ascii="宋体" w:hAnsi="宋体"/>
          <w:kern w:val="0"/>
          <w:sz w:val="24"/>
          <w:lang w:val="zh-CN"/>
        </w:rPr>
        <w:t>202</w:t>
      </w:r>
      <w:r>
        <w:rPr>
          <w:rFonts w:hint="eastAsia" w:ascii="宋体" w:hAnsi="宋体"/>
          <w:kern w:val="0"/>
          <w:sz w:val="24"/>
        </w:rPr>
        <w:t>6</w:t>
      </w:r>
      <w:r>
        <w:rPr>
          <w:rFonts w:hint="eastAsia"/>
          <w:kern w:val="0"/>
          <w:lang w:val="en-US" w:eastAsia="zh-CN"/>
        </w:rPr>
        <w:t>〕</w:t>
      </w:r>
      <w:r>
        <w:rPr>
          <w:rFonts w:hint="eastAsia" w:ascii="宋体" w:hAnsi="宋体"/>
          <w:kern w:val="0"/>
          <w:sz w:val="24"/>
        </w:rPr>
        <w:t>115</w:t>
      </w:r>
      <w:r>
        <w:rPr>
          <w:rFonts w:hint="eastAsia" w:ascii="宋体" w:hAnsi="宋体"/>
          <w:kern w:val="0"/>
          <w:sz w:val="24"/>
          <w:lang w:val="zh-CN"/>
        </w:rPr>
        <w:t>号）</w:t>
      </w:r>
      <w:r>
        <w:rPr>
          <w:rFonts w:ascii="宋体" w:hAnsi="宋体"/>
          <w:kern w:val="0"/>
          <w:sz w:val="24"/>
          <w:lang w:val="zh-CN"/>
        </w:rPr>
        <w:t>，</w:t>
      </w:r>
      <w:r>
        <w:rPr>
          <w:rFonts w:hint="eastAsia" w:ascii="宋体" w:hAnsi="宋体"/>
          <w:kern w:val="0"/>
          <w:sz w:val="24"/>
          <w:lang w:val="zh-CN"/>
        </w:rPr>
        <w:t>计划</w:t>
      </w:r>
      <w:r>
        <w:rPr>
          <w:rFonts w:ascii="宋体" w:hAnsi="宋体"/>
          <w:kern w:val="0"/>
          <w:sz w:val="24"/>
          <w:lang w:val="zh-CN"/>
        </w:rPr>
        <w:t>编号</w:t>
      </w:r>
      <w:r>
        <w:rPr>
          <w:rFonts w:ascii="宋体" w:hAnsi="宋体"/>
          <w:kern w:val="0"/>
          <w:sz w:val="24"/>
        </w:rPr>
        <w:t>为HTB2026013，</w:t>
      </w:r>
      <w:r>
        <w:rPr>
          <w:rFonts w:hint="eastAsia" w:ascii="宋体" w:hAnsi="宋体"/>
          <w:kern w:val="0"/>
          <w:sz w:val="24"/>
        </w:rPr>
        <w:t>标准计划名称为《高温气冷堆核动力厂多样性触发系统技术要求》，</w:t>
      </w:r>
      <w:r>
        <w:rPr>
          <w:rFonts w:ascii="宋体" w:hAnsi="宋体"/>
          <w:kern w:val="0"/>
          <w:sz w:val="24"/>
        </w:rPr>
        <w:t>由</w:t>
      </w:r>
      <w:r>
        <w:rPr>
          <w:rFonts w:hint="eastAsia" w:ascii="宋体" w:hAnsi="宋体"/>
          <w:kern w:val="0"/>
          <w:sz w:val="24"/>
        </w:rPr>
        <w:t>清华大学核能与新能源技术研究院起草</w:t>
      </w:r>
      <w:r>
        <w:rPr>
          <w:rFonts w:ascii="宋体" w:hAnsi="宋体"/>
          <w:kern w:val="0"/>
          <w:sz w:val="24"/>
        </w:rPr>
        <w:t>，</w:t>
      </w:r>
      <w:r>
        <w:rPr>
          <w:rFonts w:hint="eastAsia" w:ascii="宋体" w:hAnsi="宋体"/>
          <w:kern w:val="0"/>
          <w:sz w:val="24"/>
        </w:rPr>
        <w:t>要求</w:t>
      </w:r>
      <w:r>
        <w:rPr>
          <w:rFonts w:ascii="宋体" w:hAnsi="宋体"/>
          <w:kern w:val="0"/>
          <w:sz w:val="24"/>
        </w:rPr>
        <w:t>于20</w:t>
      </w:r>
      <w:r>
        <w:rPr>
          <w:rFonts w:hint="eastAsia" w:ascii="宋体" w:hAnsi="宋体"/>
          <w:kern w:val="0"/>
          <w:sz w:val="24"/>
        </w:rPr>
        <w:t>27</w:t>
      </w:r>
      <w:r>
        <w:rPr>
          <w:rFonts w:ascii="宋体" w:hAnsi="宋体"/>
          <w:kern w:val="0"/>
          <w:sz w:val="24"/>
        </w:rPr>
        <w:t>年</w:t>
      </w:r>
      <w:r>
        <w:rPr>
          <w:rFonts w:hint="eastAsia" w:ascii="宋体" w:hAnsi="宋体"/>
          <w:kern w:val="0"/>
          <w:sz w:val="24"/>
        </w:rPr>
        <w:t>5</w:t>
      </w:r>
      <w:r>
        <w:rPr>
          <w:rFonts w:ascii="宋体" w:hAnsi="宋体"/>
          <w:kern w:val="0"/>
          <w:sz w:val="24"/>
        </w:rPr>
        <w:t>月完成</w:t>
      </w:r>
      <w:r>
        <w:rPr>
          <w:rFonts w:hint="eastAsia" w:ascii="宋体" w:hAnsi="宋体"/>
          <w:kern w:val="0"/>
          <w:sz w:val="24"/>
        </w:rPr>
        <w:t>本项目</w:t>
      </w:r>
      <w:r>
        <w:rPr>
          <w:rFonts w:ascii="宋体" w:hAnsi="宋体"/>
          <w:kern w:val="0"/>
          <w:sz w:val="24"/>
        </w:rPr>
        <w:t>。</w:t>
      </w:r>
    </w:p>
    <w:p w14:paraId="419FF928">
      <w:pPr>
        <w:numPr>
          <w:ilvl w:val="0"/>
          <w:numId w:val="1"/>
        </w:numPr>
        <w:spacing w:before="240" w:after="240" w:line="360" w:lineRule="auto"/>
        <w:rPr>
          <w:rFonts w:eastAsia="黑体"/>
          <w:sz w:val="28"/>
          <w:szCs w:val="28"/>
        </w:rPr>
      </w:pPr>
      <w:r>
        <w:rPr>
          <w:rFonts w:hint="eastAsia" w:eastAsia="黑体"/>
          <w:sz w:val="28"/>
          <w:szCs w:val="28"/>
        </w:rPr>
        <w:t>标准编制组组成</w:t>
      </w:r>
    </w:p>
    <w:p w14:paraId="768EBE23">
      <w:pPr>
        <w:spacing w:line="360" w:lineRule="auto"/>
        <w:ind w:firstLine="480" w:firstLineChars="200"/>
        <w:rPr>
          <w:rFonts w:ascii="宋体" w:hAnsi="宋体"/>
          <w:kern w:val="0"/>
          <w:sz w:val="24"/>
          <w:lang w:val="zh-CN"/>
        </w:rPr>
      </w:pPr>
      <w:r>
        <w:rPr>
          <w:rFonts w:hint="eastAsia" w:ascii="宋体" w:hAnsi="宋体"/>
          <w:kern w:val="0"/>
          <w:sz w:val="24"/>
          <w:lang w:val="zh-CN"/>
        </w:rPr>
        <w:t>本标准起草工作组成员及任务分工见表1。</w:t>
      </w:r>
    </w:p>
    <w:p w14:paraId="256D9540">
      <w:pPr>
        <w:spacing w:line="360" w:lineRule="auto"/>
        <w:ind w:firstLine="480" w:firstLineChars="200"/>
        <w:jc w:val="center"/>
        <w:rPr>
          <w:rFonts w:ascii="宋体" w:hAnsi="宋体"/>
          <w:sz w:val="24"/>
        </w:rPr>
      </w:pPr>
      <w:r>
        <w:rPr>
          <w:rFonts w:hint="eastAsia" w:ascii="宋体" w:hAnsi="宋体"/>
          <w:sz w:val="24"/>
        </w:rPr>
        <w:t xml:space="preserve">表1 </w:t>
      </w:r>
      <w:r>
        <w:rPr>
          <w:rFonts w:ascii="宋体" w:hAnsi="宋体"/>
          <w:sz w:val="24"/>
        </w:rPr>
        <w:t xml:space="preserve"> </w:t>
      </w:r>
      <w:r>
        <w:rPr>
          <w:rFonts w:hint="eastAsia" w:ascii="宋体" w:hAnsi="宋体"/>
          <w:kern w:val="0"/>
          <w:sz w:val="24"/>
          <w:lang w:val="zh-CN"/>
        </w:rPr>
        <w:t>起草工作</w:t>
      </w:r>
      <w:r>
        <w:rPr>
          <w:rFonts w:hint="eastAsia" w:ascii="宋体" w:hAnsi="宋体"/>
          <w:sz w:val="24"/>
        </w:rPr>
        <w:t>组成员及</w:t>
      </w:r>
      <w:r>
        <w:rPr>
          <w:rFonts w:hint="eastAsia" w:ascii="宋体" w:hAnsi="宋体"/>
          <w:kern w:val="0"/>
          <w:sz w:val="24"/>
          <w:lang w:val="zh-CN"/>
        </w:rPr>
        <w:t>任务</w:t>
      </w:r>
      <w:r>
        <w:rPr>
          <w:rFonts w:hint="eastAsia" w:ascii="宋体" w:hAnsi="宋体"/>
          <w:sz w:val="24"/>
        </w:rPr>
        <w:t>分工</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975"/>
        <w:gridCol w:w="3887"/>
        <w:gridCol w:w="1705"/>
        <w:gridCol w:w="1219"/>
      </w:tblGrid>
      <w:tr w14:paraId="2653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tcPr>
          <w:p w14:paraId="57435D04">
            <w:pPr>
              <w:spacing w:line="360" w:lineRule="auto"/>
              <w:jc w:val="center"/>
              <w:rPr>
                <w:rFonts w:ascii="宋体" w:hAnsi="宋体"/>
                <w:szCs w:val="21"/>
              </w:rPr>
            </w:pPr>
            <w:r>
              <w:rPr>
                <w:rFonts w:hint="eastAsia" w:ascii="宋体" w:hAnsi="宋体"/>
                <w:szCs w:val="21"/>
              </w:rPr>
              <w:t>序号</w:t>
            </w:r>
          </w:p>
        </w:tc>
        <w:tc>
          <w:tcPr>
            <w:tcW w:w="572" w:type="pct"/>
          </w:tcPr>
          <w:p w14:paraId="67DB6774">
            <w:pPr>
              <w:spacing w:line="360" w:lineRule="auto"/>
              <w:jc w:val="center"/>
              <w:rPr>
                <w:rFonts w:ascii="宋体" w:hAnsi="宋体"/>
                <w:szCs w:val="21"/>
              </w:rPr>
            </w:pPr>
            <w:r>
              <w:rPr>
                <w:rFonts w:hint="eastAsia" w:ascii="宋体" w:hAnsi="宋体"/>
                <w:szCs w:val="21"/>
              </w:rPr>
              <w:t>姓名</w:t>
            </w:r>
          </w:p>
        </w:tc>
        <w:tc>
          <w:tcPr>
            <w:tcW w:w="2280" w:type="pct"/>
          </w:tcPr>
          <w:p w14:paraId="1E24855A">
            <w:pPr>
              <w:spacing w:line="360" w:lineRule="auto"/>
              <w:jc w:val="center"/>
              <w:rPr>
                <w:rFonts w:ascii="宋体" w:hAnsi="宋体"/>
                <w:szCs w:val="21"/>
              </w:rPr>
            </w:pPr>
            <w:r>
              <w:rPr>
                <w:rFonts w:hint="eastAsia" w:ascii="宋体" w:hAnsi="宋体"/>
                <w:szCs w:val="21"/>
              </w:rPr>
              <w:t>单位</w:t>
            </w:r>
          </w:p>
        </w:tc>
        <w:tc>
          <w:tcPr>
            <w:tcW w:w="1000" w:type="pct"/>
          </w:tcPr>
          <w:p w14:paraId="5934D40D">
            <w:pPr>
              <w:spacing w:line="360" w:lineRule="auto"/>
              <w:jc w:val="center"/>
              <w:rPr>
                <w:rFonts w:ascii="宋体" w:hAnsi="宋体"/>
                <w:szCs w:val="21"/>
              </w:rPr>
            </w:pPr>
            <w:r>
              <w:rPr>
                <w:rFonts w:hint="eastAsia" w:ascii="宋体" w:hAnsi="宋体"/>
                <w:szCs w:val="21"/>
              </w:rPr>
              <w:t>职务/职称</w:t>
            </w:r>
          </w:p>
        </w:tc>
        <w:tc>
          <w:tcPr>
            <w:tcW w:w="715" w:type="pct"/>
          </w:tcPr>
          <w:p w14:paraId="45C3EC0E">
            <w:pPr>
              <w:spacing w:line="360" w:lineRule="auto"/>
              <w:jc w:val="center"/>
              <w:rPr>
                <w:rFonts w:ascii="宋体" w:hAnsi="宋体"/>
                <w:szCs w:val="21"/>
              </w:rPr>
            </w:pPr>
            <w:r>
              <w:rPr>
                <w:rFonts w:hint="eastAsia" w:ascii="宋体" w:hAnsi="宋体"/>
                <w:szCs w:val="21"/>
              </w:rPr>
              <w:t>任务</w:t>
            </w:r>
          </w:p>
        </w:tc>
      </w:tr>
      <w:tr w14:paraId="3A27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tcPr>
          <w:p w14:paraId="3A8F9028">
            <w:pPr>
              <w:spacing w:line="360" w:lineRule="auto"/>
              <w:jc w:val="center"/>
              <w:rPr>
                <w:rFonts w:ascii="宋体" w:hAnsi="宋体"/>
                <w:szCs w:val="21"/>
              </w:rPr>
            </w:pPr>
            <w:r>
              <w:rPr>
                <w:rFonts w:hint="eastAsia" w:ascii="宋体" w:hAnsi="宋体"/>
                <w:szCs w:val="21"/>
              </w:rPr>
              <w:t>1</w:t>
            </w:r>
          </w:p>
        </w:tc>
        <w:tc>
          <w:tcPr>
            <w:tcW w:w="572" w:type="pct"/>
          </w:tcPr>
          <w:p w14:paraId="1EF73D3C">
            <w:pPr>
              <w:spacing w:line="360" w:lineRule="auto"/>
              <w:jc w:val="center"/>
              <w:rPr>
                <w:rFonts w:ascii="宋体" w:hAnsi="宋体"/>
                <w:szCs w:val="21"/>
              </w:rPr>
            </w:pPr>
            <w:r>
              <w:rPr>
                <w:rFonts w:hint="eastAsia"/>
              </w:rPr>
              <w:t>李江海</w:t>
            </w:r>
          </w:p>
        </w:tc>
        <w:tc>
          <w:tcPr>
            <w:tcW w:w="2280" w:type="pct"/>
          </w:tcPr>
          <w:p w14:paraId="2484EB39">
            <w:pPr>
              <w:spacing w:line="360" w:lineRule="auto"/>
              <w:jc w:val="center"/>
              <w:rPr>
                <w:rFonts w:ascii="宋体" w:hAnsi="宋体"/>
                <w:szCs w:val="21"/>
              </w:rPr>
            </w:pPr>
            <w:r>
              <w:rPr>
                <w:rFonts w:hint="eastAsia" w:ascii="宋体" w:hAnsi="宋体"/>
                <w:szCs w:val="21"/>
              </w:rPr>
              <w:t>清华大学核能与新能源技术研究院</w:t>
            </w:r>
          </w:p>
        </w:tc>
        <w:tc>
          <w:tcPr>
            <w:tcW w:w="1000" w:type="pct"/>
          </w:tcPr>
          <w:p w14:paraId="31836779">
            <w:pPr>
              <w:spacing w:line="360" w:lineRule="auto"/>
              <w:jc w:val="center"/>
              <w:rPr>
                <w:rFonts w:ascii="宋体" w:hAnsi="宋体"/>
                <w:szCs w:val="21"/>
              </w:rPr>
            </w:pPr>
            <w:r>
              <w:rPr>
                <w:rFonts w:hint="eastAsia"/>
              </w:rPr>
              <w:t>副研究员</w:t>
            </w:r>
          </w:p>
        </w:tc>
        <w:tc>
          <w:tcPr>
            <w:tcW w:w="715" w:type="pct"/>
          </w:tcPr>
          <w:p w14:paraId="4ADB2E21">
            <w:pPr>
              <w:spacing w:line="360" w:lineRule="auto"/>
              <w:jc w:val="center"/>
              <w:rPr>
                <w:rFonts w:ascii="宋体" w:hAnsi="宋体"/>
                <w:szCs w:val="21"/>
              </w:rPr>
            </w:pPr>
            <w:r>
              <w:t>编制全文</w:t>
            </w:r>
          </w:p>
        </w:tc>
      </w:tr>
      <w:tr w14:paraId="3E116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tcPr>
          <w:p w14:paraId="2B423FA8">
            <w:pPr>
              <w:spacing w:line="360" w:lineRule="auto"/>
              <w:jc w:val="center"/>
              <w:rPr>
                <w:rFonts w:ascii="宋体" w:hAnsi="宋体"/>
                <w:szCs w:val="21"/>
              </w:rPr>
            </w:pPr>
            <w:r>
              <w:rPr>
                <w:rFonts w:hint="eastAsia" w:ascii="宋体" w:hAnsi="宋体"/>
                <w:szCs w:val="21"/>
              </w:rPr>
              <w:t>2</w:t>
            </w:r>
          </w:p>
        </w:tc>
        <w:tc>
          <w:tcPr>
            <w:tcW w:w="572" w:type="pct"/>
          </w:tcPr>
          <w:p w14:paraId="0D9AFBD7">
            <w:pPr>
              <w:spacing w:line="360" w:lineRule="auto"/>
              <w:jc w:val="center"/>
              <w:rPr>
                <w:rFonts w:ascii="宋体" w:hAnsi="宋体"/>
                <w:szCs w:val="21"/>
              </w:rPr>
            </w:pPr>
            <w:r>
              <w:rPr>
                <w:rFonts w:hint="eastAsia"/>
              </w:rPr>
              <w:t>贾倩倩</w:t>
            </w:r>
          </w:p>
        </w:tc>
        <w:tc>
          <w:tcPr>
            <w:tcW w:w="2280" w:type="pct"/>
          </w:tcPr>
          <w:p w14:paraId="5EFB73F9">
            <w:pPr>
              <w:spacing w:line="360" w:lineRule="auto"/>
              <w:jc w:val="center"/>
              <w:rPr>
                <w:rFonts w:ascii="宋体" w:hAnsi="宋体"/>
                <w:szCs w:val="21"/>
              </w:rPr>
            </w:pPr>
            <w:r>
              <w:rPr>
                <w:rFonts w:hint="eastAsia" w:ascii="宋体" w:hAnsi="宋体"/>
                <w:szCs w:val="21"/>
              </w:rPr>
              <w:t>清华大学核能与新能源技术研究院</w:t>
            </w:r>
          </w:p>
        </w:tc>
        <w:tc>
          <w:tcPr>
            <w:tcW w:w="1000" w:type="pct"/>
          </w:tcPr>
          <w:p w14:paraId="2C52E4C1">
            <w:pPr>
              <w:spacing w:line="360" w:lineRule="auto"/>
              <w:jc w:val="center"/>
              <w:rPr>
                <w:rFonts w:ascii="宋体" w:hAnsi="宋体"/>
                <w:szCs w:val="21"/>
              </w:rPr>
            </w:pPr>
            <w:r>
              <w:rPr>
                <w:rFonts w:hint="eastAsia"/>
              </w:rPr>
              <w:t>副研究员</w:t>
            </w:r>
          </w:p>
        </w:tc>
        <w:tc>
          <w:tcPr>
            <w:tcW w:w="715" w:type="pct"/>
          </w:tcPr>
          <w:p w14:paraId="4E309C04">
            <w:pPr>
              <w:spacing w:line="360" w:lineRule="auto"/>
              <w:jc w:val="center"/>
              <w:rPr>
                <w:rFonts w:ascii="宋体" w:hAnsi="宋体"/>
                <w:szCs w:val="21"/>
              </w:rPr>
            </w:pPr>
            <w:r>
              <w:t>校核全文</w:t>
            </w:r>
          </w:p>
        </w:tc>
      </w:tr>
      <w:tr w14:paraId="4CB63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tcPr>
          <w:p w14:paraId="3B66BF3C">
            <w:pPr>
              <w:spacing w:line="360" w:lineRule="auto"/>
              <w:jc w:val="center"/>
              <w:rPr>
                <w:rFonts w:ascii="宋体" w:hAnsi="宋体"/>
                <w:szCs w:val="21"/>
              </w:rPr>
            </w:pPr>
            <w:r>
              <w:rPr>
                <w:rFonts w:hint="eastAsia" w:ascii="宋体" w:hAnsi="宋体"/>
                <w:szCs w:val="21"/>
              </w:rPr>
              <w:t>3</w:t>
            </w:r>
          </w:p>
        </w:tc>
        <w:tc>
          <w:tcPr>
            <w:tcW w:w="572" w:type="pct"/>
          </w:tcPr>
          <w:p w14:paraId="13279C9A">
            <w:pPr>
              <w:spacing w:line="360" w:lineRule="auto"/>
              <w:jc w:val="center"/>
              <w:rPr>
                <w:rFonts w:ascii="宋体" w:hAnsi="宋体"/>
                <w:szCs w:val="21"/>
              </w:rPr>
            </w:pPr>
            <w:r>
              <w:rPr>
                <w:rFonts w:hint="eastAsia"/>
              </w:rPr>
              <w:t>黄晓津</w:t>
            </w:r>
          </w:p>
        </w:tc>
        <w:tc>
          <w:tcPr>
            <w:tcW w:w="2280" w:type="pct"/>
          </w:tcPr>
          <w:p w14:paraId="213D8EEA">
            <w:pPr>
              <w:spacing w:line="360" w:lineRule="auto"/>
              <w:jc w:val="center"/>
              <w:rPr>
                <w:rFonts w:ascii="宋体" w:hAnsi="宋体"/>
                <w:szCs w:val="21"/>
              </w:rPr>
            </w:pPr>
            <w:r>
              <w:rPr>
                <w:rFonts w:hint="eastAsia" w:ascii="宋体" w:hAnsi="宋体"/>
                <w:szCs w:val="21"/>
              </w:rPr>
              <w:t>清华大学核能与新能源技术研究院</w:t>
            </w:r>
          </w:p>
        </w:tc>
        <w:tc>
          <w:tcPr>
            <w:tcW w:w="1000" w:type="pct"/>
          </w:tcPr>
          <w:p w14:paraId="59DCF5BC">
            <w:pPr>
              <w:spacing w:line="360" w:lineRule="auto"/>
              <w:jc w:val="center"/>
              <w:rPr>
                <w:rFonts w:ascii="宋体" w:hAnsi="宋体"/>
                <w:szCs w:val="21"/>
              </w:rPr>
            </w:pPr>
            <w:r>
              <w:rPr>
                <w:rFonts w:hint="eastAsia"/>
              </w:rPr>
              <w:t>教授</w:t>
            </w:r>
          </w:p>
        </w:tc>
        <w:tc>
          <w:tcPr>
            <w:tcW w:w="715" w:type="pct"/>
          </w:tcPr>
          <w:p w14:paraId="1133CB5D">
            <w:pPr>
              <w:spacing w:line="360" w:lineRule="auto"/>
              <w:jc w:val="center"/>
              <w:rPr>
                <w:rFonts w:ascii="宋体" w:hAnsi="宋体"/>
                <w:szCs w:val="21"/>
              </w:rPr>
            </w:pPr>
            <w:r>
              <w:t>审定全文</w:t>
            </w:r>
          </w:p>
        </w:tc>
      </w:tr>
      <w:tr w14:paraId="632CB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tcPr>
          <w:p w14:paraId="64393805">
            <w:pPr>
              <w:spacing w:line="360" w:lineRule="auto"/>
              <w:jc w:val="center"/>
              <w:rPr>
                <w:rFonts w:ascii="宋体" w:hAnsi="宋体"/>
                <w:szCs w:val="21"/>
              </w:rPr>
            </w:pPr>
            <w:r>
              <w:rPr>
                <w:rFonts w:hint="eastAsia" w:ascii="宋体" w:hAnsi="宋体"/>
                <w:szCs w:val="21"/>
              </w:rPr>
              <w:t>4</w:t>
            </w:r>
          </w:p>
        </w:tc>
        <w:tc>
          <w:tcPr>
            <w:tcW w:w="572" w:type="pct"/>
          </w:tcPr>
          <w:p w14:paraId="1F507696">
            <w:pPr>
              <w:spacing w:line="360" w:lineRule="auto"/>
              <w:jc w:val="center"/>
              <w:rPr>
                <w:rFonts w:ascii="宋体" w:hAnsi="宋体"/>
                <w:szCs w:val="21"/>
              </w:rPr>
            </w:pPr>
            <w:r>
              <w:rPr>
                <w:rFonts w:hint="eastAsia"/>
              </w:rPr>
              <w:t>李铎</w:t>
            </w:r>
          </w:p>
        </w:tc>
        <w:tc>
          <w:tcPr>
            <w:tcW w:w="2280" w:type="pct"/>
          </w:tcPr>
          <w:p w14:paraId="36388F14">
            <w:pPr>
              <w:spacing w:line="360" w:lineRule="auto"/>
              <w:jc w:val="center"/>
              <w:rPr>
                <w:rFonts w:ascii="宋体" w:hAnsi="宋体"/>
                <w:szCs w:val="21"/>
              </w:rPr>
            </w:pPr>
            <w:r>
              <w:rPr>
                <w:rFonts w:hint="eastAsia" w:ascii="宋体" w:hAnsi="宋体"/>
                <w:szCs w:val="21"/>
              </w:rPr>
              <w:t>清华大学核能与新能源技术研究院</w:t>
            </w:r>
          </w:p>
        </w:tc>
        <w:tc>
          <w:tcPr>
            <w:tcW w:w="1000" w:type="pct"/>
          </w:tcPr>
          <w:p w14:paraId="0E26E29D">
            <w:pPr>
              <w:spacing w:line="360" w:lineRule="auto"/>
              <w:jc w:val="center"/>
              <w:rPr>
                <w:rFonts w:ascii="宋体" w:hAnsi="宋体"/>
                <w:szCs w:val="21"/>
              </w:rPr>
            </w:pPr>
            <w:r>
              <w:rPr>
                <w:rFonts w:hint="eastAsia"/>
              </w:rPr>
              <w:t>副研究员</w:t>
            </w:r>
          </w:p>
        </w:tc>
        <w:tc>
          <w:tcPr>
            <w:tcW w:w="715" w:type="pct"/>
          </w:tcPr>
          <w:p w14:paraId="00D4BE1F">
            <w:pPr>
              <w:spacing w:line="360" w:lineRule="auto"/>
              <w:jc w:val="center"/>
              <w:rPr>
                <w:rFonts w:ascii="宋体" w:hAnsi="宋体"/>
                <w:szCs w:val="21"/>
              </w:rPr>
            </w:pPr>
            <w:r>
              <w:t>参与审核</w:t>
            </w:r>
          </w:p>
        </w:tc>
      </w:tr>
      <w:tr w14:paraId="358A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tcPr>
          <w:p w14:paraId="082F319F">
            <w:pPr>
              <w:spacing w:line="360" w:lineRule="auto"/>
              <w:jc w:val="center"/>
              <w:rPr>
                <w:rFonts w:ascii="宋体" w:hAnsi="宋体"/>
                <w:szCs w:val="21"/>
              </w:rPr>
            </w:pPr>
            <w:r>
              <w:rPr>
                <w:rFonts w:hint="eastAsia" w:ascii="宋体" w:hAnsi="宋体"/>
                <w:szCs w:val="21"/>
              </w:rPr>
              <w:t>5</w:t>
            </w:r>
          </w:p>
        </w:tc>
        <w:tc>
          <w:tcPr>
            <w:tcW w:w="572" w:type="pct"/>
          </w:tcPr>
          <w:p w14:paraId="44CA515A">
            <w:pPr>
              <w:spacing w:line="360" w:lineRule="auto"/>
              <w:jc w:val="center"/>
              <w:rPr>
                <w:rFonts w:ascii="宋体" w:hAnsi="宋体"/>
                <w:szCs w:val="21"/>
              </w:rPr>
            </w:pPr>
            <w:r>
              <w:rPr>
                <w:rFonts w:hint="eastAsia"/>
              </w:rPr>
              <w:t>于晖</w:t>
            </w:r>
          </w:p>
        </w:tc>
        <w:tc>
          <w:tcPr>
            <w:tcW w:w="2280" w:type="pct"/>
          </w:tcPr>
          <w:p w14:paraId="39CD06DC">
            <w:pPr>
              <w:spacing w:line="360" w:lineRule="auto"/>
              <w:jc w:val="center"/>
              <w:rPr>
                <w:rFonts w:ascii="宋体" w:hAnsi="宋体"/>
                <w:szCs w:val="21"/>
              </w:rPr>
            </w:pPr>
            <w:r>
              <w:rPr>
                <w:rFonts w:hint="eastAsia" w:ascii="宋体" w:hAnsi="宋体"/>
                <w:szCs w:val="21"/>
              </w:rPr>
              <w:t>清华大学核能与新能源技术研究院</w:t>
            </w:r>
          </w:p>
        </w:tc>
        <w:tc>
          <w:tcPr>
            <w:tcW w:w="1000" w:type="pct"/>
          </w:tcPr>
          <w:p w14:paraId="1FE10960">
            <w:pPr>
              <w:spacing w:line="360" w:lineRule="auto"/>
              <w:jc w:val="center"/>
              <w:rPr>
                <w:rFonts w:ascii="宋体" w:hAnsi="宋体"/>
                <w:szCs w:val="21"/>
              </w:rPr>
            </w:pPr>
            <w:r>
              <w:rPr>
                <w:rFonts w:hint="eastAsia"/>
              </w:rPr>
              <w:t>研究员级高工</w:t>
            </w:r>
          </w:p>
        </w:tc>
        <w:tc>
          <w:tcPr>
            <w:tcW w:w="715" w:type="pct"/>
          </w:tcPr>
          <w:p w14:paraId="25AA58FE">
            <w:pPr>
              <w:spacing w:line="360" w:lineRule="auto"/>
              <w:jc w:val="center"/>
              <w:rPr>
                <w:rFonts w:ascii="宋体" w:hAnsi="宋体"/>
                <w:szCs w:val="21"/>
              </w:rPr>
            </w:pPr>
            <w:r>
              <w:t>参与审核</w:t>
            </w:r>
          </w:p>
        </w:tc>
      </w:tr>
    </w:tbl>
    <w:p w14:paraId="21A400A4">
      <w:pPr>
        <w:numPr>
          <w:ilvl w:val="0"/>
          <w:numId w:val="1"/>
        </w:numPr>
        <w:spacing w:before="240" w:after="240" w:line="360" w:lineRule="auto"/>
        <w:rPr>
          <w:rFonts w:ascii="黑体" w:eastAsia="黑体"/>
          <w:sz w:val="28"/>
          <w:szCs w:val="28"/>
        </w:rPr>
      </w:pPr>
      <w:r>
        <w:rPr>
          <w:rFonts w:hint="eastAsia" w:ascii="黑体" w:eastAsia="黑体"/>
          <w:sz w:val="28"/>
          <w:szCs w:val="28"/>
        </w:rPr>
        <w:t>编制过程</w:t>
      </w:r>
    </w:p>
    <w:p w14:paraId="0F618AE7">
      <w:pPr>
        <w:pStyle w:val="26"/>
        <w:spacing w:after="0" w:line="360" w:lineRule="auto"/>
        <w:ind w:firstLine="480" w:firstLineChars="200"/>
        <w:jc w:val="both"/>
      </w:pPr>
      <w:r>
        <w:rPr>
          <w:rFonts w:hint="eastAsia"/>
        </w:rPr>
        <w:t>本标准的起草过程主要分为前期准备、征求意见稿编制、送审稿编制、报批稿编制阶段。</w:t>
      </w:r>
    </w:p>
    <w:p w14:paraId="20EFCC04">
      <w:pPr>
        <w:spacing w:before="240" w:line="360" w:lineRule="auto"/>
        <w:rPr>
          <w:rFonts w:ascii="黑体" w:hAnsi="黑体" w:eastAsia="黑体"/>
          <w:kern w:val="0"/>
          <w:sz w:val="24"/>
        </w:rPr>
      </w:pPr>
      <w:r>
        <w:rPr>
          <w:rFonts w:hint="eastAsia" w:ascii="黑体" w:hAnsi="黑体" w:eastAsia="黑体"/>
          <w:kern w:val="0"/>
          <w:sz w:val="24"/>
        </w:rPr>
        <w:t>3.1 前期准备（2025年6月-2026年2月）</w:t>
      </w:r>
    </w:p>
    <w:p w14:paraId="787F78CF">
      <w:pPr>
        <w:spacing w:line="360" w:lineRule="auto"/>
        <w:ind w:firstLine="480" w:firstLineChars="200"/>
        <w:rPr>
          <w:rFonts w:hint="eastAsia" w:ascii="宋体" w:hAnsi="宋体"/>
          <w:kern w:val="0"/>
          <w:sz w:val="24"/>
        </w:rPr>
      </w:pPr>
      <w:r>
        <w:rPr>
          <w:rFonts w:hint="eastAsia" w:ascii="宋体" w:hAnsi="宋体"/>
          <w:kern w:val="0"/>
          <w:sz w:val="24"/>
        </w:rPr>
        <w:t>前期准备阶段主要任务是成立</w:t>
      </w:r>
      <w:r>
        <w:rPr>
          <w:rFonts w:hint="eastAsia" w:ascii="宋体" w:hAnsi="宋体"/>
          <w:kern w:val="0"/>
          <w:sz w:val="24"/>
          <w:lang w:val="zh-CN"/>
        </w:rPr>
        <w:t>起草工作</w:t>
      </w:r>
      <w:r>
        <w:rPr>
          <w:rFonts w:hint="eastAsia" w:ascii="宋体" w:hAnsi="宋体"/>
          <w:sz w:val="24"/>
        </w:rPr>
        <w:t>组</w:t>
      </w:r>
      <w:r>
        <w:rPr>
          <w:rFonts w:hint="eastAsia" w:ascii="宋体" w:hAnsi="宋体"/>
          <w:kern w:val="0"/>
          <w:sz w:val="24"/>
        </w:rPr>
        <w:t>、分解工作任务、明确编制进度、收集相关资料、调研分析。相关资料包括</w:t>
      </w:r>
      <w:r>
        <w:rPr>
          <w:rFonts w:hint="eastAsia" w:ascii="宋体" w:hAnsi="宋体"/>
          <w:kern w:val="0"/>
          <w:sz w:val="24"/>
          <w:lang w:eastAsia="zh-CN"/>
        </w:rPr>
        <w:t>国内外相关的导则标准、20万高温气冷堆示范工程、600MW高温气冷堆示范工程、江苏徐圩核能供热发电厂一期工程（高温气冷堆）的工程实践成果等。</w:t>
      </w:r>
    </w:p>
    <w:p w14:paraId="2A338496">
      <w:pPr>
        <w:spacing w:line="360" w:lineRule="auto"/>
        <w:ind w:firstLine="480" w:firstLineChars="200"/>
        <w:rPr>
          <w:rFonts w:ascii="宋体" w:hAnsi="宋体"/>
          <w:kern w:val="0"/>
          <w:sz w:val="24"/>
        </w:rPr>
      </w:pPr>
      <w:r>
        <w:rPr>
          <w:rFonts w:hint="eastAsia" w:ascii="宋体" w:hAnsi="宋体"/>
          <w:kern w:val="0"/>
          <w:sz w:val="24"/>
        </w:rPr>
        <w:t>核工业标准化研究所于2026年2月5-6日于北京组织有关单位专家和代表召开了立项把关审查会，共有来自生态环境部核与辐射安全中心、中国核电工程有限公司等14位评审专家参会，与会专家听取了编制组对标准编制背景情况的汇报，经过对标准内容深入讨论，对标准技术内容无实质性分歧意见，建议该标准立项，并提出部分修改意见。会后编制组对建议书和标准草案进行了修改。</w:t>
      </w:r>
    </w:p>
    <w:p w14:paraId="0CC8EDD1">
      <w:pPr>
        <w:spacing w:before="240" w:line="360" w:lineRule="auto"/>
        <w:rPr>
          <w:rFonts w:ascii="黑体" w:hAnsi="黑体" w:eastAsia="黑体"/>
          <w:kern w:val="0"/>
          <w:sz w:val="24"/>
        </w:rPr>
      </w:pPr>
      <w:r>
        <w:rPr>
          <w:rFonts w:hint="eastAsia" w:ascii="黑体" w:hAnsi="黑体" w:eastAsia="黑体"/>
          <w:kern w:val="0"/>
          <w:sz w:val="24"/>
        </w:rPr>
        <w:t>3.2 征求意见稿编制（2026年2月-2026年7月）</w:t>
      </w:r>
    </w:p>
    <w:p w14:paraId="5EB4E505">
      <w:pPr>
        <w:spacing w:line="360" w:lineRule="auto"/>
        <w:ind w:firstLine="480" w:firstLineChars="200"/>
        <w:rPr>
          <w:sz w:val="24"/>
          <w:lang w:eastAsia="zh-CN"/>
        </w:rPr>
      </w:pPr>
      <w:r>
        <w:rPr>
          <w:rFonts w:hint="eastAsia"/>
          <w:sz w:val="24"/>
          <w:lang w:eastAsia="zh-CN"/>
        </w:rPr>
        <w:t>在初稿完成后，在具体章节编写过程中，对于标准内容的定位和合理安排问题进行多次反复讨论和修改，最终形成本标准征求意见稿。</w:t>
      </w:r>
    </w:p>
    <w:p w14:paraId="25797C67">
      <w:pPr>
        <w:numPr>
          <w:ilvl w:val="0"/>
          <w:numId w:val="1"/>
        </w:numPr>
        <w:spacing w:before="240" w:after="240" w:line="360" w:lineRule="auto"/>
        <w:rPr>
          <w:rFonts w:ascii="黑体" w:hAnsi="黑体" w:eastAsia="黑体"/>
          <w:kern w:val="0"/>
          <w:sz w:val="24"/>
        </w:rPr>
      </w:pPr>
      <w:r>
        <w:rPr>
          <w:rFonts w:hint="eastAsia" w:ascii="黑体" w:eastAsia="黑体"/>
          <w:sz w:val="28"/>
          <w:szCs w:val="28"/>
        </w:rPr>
        <w:t>标准编写原则和主要内容</w:t>
      </w:r>
      <w:bookmarkStart w:id="0" w:name="_Toc361734314"/>
    </w:p>
    <w:bookmarkEnd w:id="0"/>
    <w:p w14:paraId="42D9830E">
      <w:pPr>
        <w:spacing w:before="240" w:line="360" w:lineRule="auto"/>
        <w:rPr>
          <w:rFonts w:ascii="黑体" w:hAnsi="黑体" w:eastAsia="黑体"/>
          <w:kern w:val="0"/>
          <w:sz w:val="24"/>
        </w:rPr>
      </w:pPr>
      <w:bookmarkStart w:id="1" w:name="_Toc361669937"/>
      <w:bookmarkEnd w:id="1"/>
      <w:bookmarkStart w:id="2" w:name="_Toc361734315"/>
      <w:r>
        <w:rPr>
          <w:rFonts w:hint="eastAsia" w:ascii="黑体" w:hAnsi="黑体" w:eastAsia="黑体"/>
          <w:kern w:val="0"/>
          <w:sz w:val="24"/>
        </w:rPr>
        <w:t>4.1 起草原则</w:t>
      </w:r>
      <w:bookmarkEnd w:id="2"/>
    </w:p>
    <w:p w14:paraId="0547C805">
      <w:pPr>
        <w:spacing w:line="360" w:lineRule="auto"/>
        <w:ind w:firstLine="480"/>
        <w:rPr>
          <w:rFonts w:asciiTheme="majorEastAsia" w:hAnsiTheme="majorEastAsia" w:eastAsiaTheme="majorEastAsia"/>
          <w:sz w:val="24"/>
          <w:szCs w:val="28"/>
          <w:lang w:val="de-DE"/>
        </w:rPr>
      </w:pPr>
      <w:r>
        <w:rPr>
          <w:rFonts w:hint="eastAsia" w:asciiTheme="minorEastAsia" w:hAnsiTheme="minorEastAsia"/>
          <w:sz w:val="24"/>
          <w:szCs w:val="28"/>
          <w:lang w:val="de-DE"/>
        </w:rPr>
        <w:t>本标准的起草严格遵照国家核安全技术法规导则，并与现行相关国家标准、行业标准保持协调一致。本标准</w:t>
      </w:r>
      <w:r>
        <w:rPr>
          <w:rFonts w:hint="eastAsia" w:asciiTheme="majorEastAsia" w:hAnsiTheme="majorEastAsia" w:eastAsiaTheme="majorEastAsia"/>
          <w:sz w:val="24"/>
          <w:szCs w:val="28"/>
          <w:lang w:val="de-DE"/>
        </w:rPr>
        <w:t xml:space="preserve">按照GB/T 1.1—2020《标准化工作导则 </w:t>
      </w:r>
      <w:r>
        <w:rPr>
          <w:rFonts w:asciiTheme="majorEastAsia" w:hAnsiTheme="majorEastAsia" w:eastAsiaTheme="majorEastAsia"/>
          <w:sz w:val="24"/>
          <w:szCs w:val="28"/>
          <w:lang w:val="de-DE"/>
        </w:rPr>
        <w:t xml:space="preserve"> </w:t>
      </w:r>
      <w:r>
        <w:rPr>
          <w:rFonts w:hint="eastAsia" w:asciiTheme="majorEastAsia" w:hAnsiTheme="majorEastAsia" w:eastAsiaTheme="majorEastAsia"/>
          <w:sz w:val="24"/>
          <w:szCs w:val="28"/>
          <w:lang w:val="de-DE"/>
        </w:rPr>
        <w:t>第1部分：标准化文件的结构和起草规则》的规定起草。</w:t>
      </w:r>
    </w:p>
    <w:p w14:paraId="6FC23DFE">
      <w:pPr>
        <w:spacing w:before="240" w:line="360" w:lineRule="auto"/>
        <w:rPr>
          <w:rFonts w:ascii="黑体" w:hAnsi="黑体" w:eastAsia="黑体"/>
          <w:kern w:val="0"/>
          <w:sz w:val="24"/>
        </w:rPr>
      </w:pPr>
      <w:r>
        <w:rPr>
          <w:rFonts w:hint="eastAsia" w:ascii="黑体" w:hAnsi="黑体" w:eastAsia="黑体"/>
          <w:kern w:val="0"/>
          <w:sz w:val="24"/>
        </w:rPr>
        <w:t>4.2主要内容</w:t>
      </w:r>
    </w:p>
    <w:p w14:paraId="6ECE81A1">
      <w:pPr>
        <w:spacing w:line="360" w:lineRule="auto"/>
        <w:ind w:firstLine="480" w:firstLineChars="200"/>
        <w:rPr>
          <w:rFonts w:hint="eastAsia" w:ascii="宋体" w:hAnsi="宋体"/>
          <w:kern w:val="0"/>
          <w:sz w:val="24"/>
          <w:lang w:val="de-DE"/>
        </w:rPr>
      </w:pPr>
      <w:r>
        <w:rPr>
          <w:rFonts w:hint="eastAsia" w:ascii="宋体" w:hAnsi="宋体"/>
          <w:kern w:val="0"/>
          <w:sz w:val="24"/>
          <w:lang w:val="de-DE"/>
        </w:rPr>
        <w:t>本标准主要由范围、规范性引用文件、术语和定义、系统功能和分级、系统设计基准、核心技术要求、周期性校验、安全分析等8个部分组成。</w:t>
      </w:r>
    </w:p>
    <w:p w14:paraId="034FEE09">
      <w:pPr>
        <w:spacing w:line="360" w:lineRule="auto"/>
        <w:ind w:firstLine="480" w:firstLineChars="200"/>
        <w:rPr>
          <w:rFonts w:hint="eastAsia" w:ascii="宋体" w:hAnsi="宋体"/>
          <w:kern w:val="0"/>
          <w:sz w:val="24"/>
          <w:lang w:val="de-DE"/>
        </w:rPr>
      </w:pPr>
      <w:r>
        <w:rPr>
          <w:rFonts w:hint="eastAsia" w:ascii="宋体" w:hAnsi="宋体"/>
          <w:kern w:val="0"/>
          <w:sz w:val="24"/>
          <w:lang w:val="de-DE"/>
        </w:rPr>
        <w:t>1 范围</w:t>
      </w:r>
    </w:p>
    <w:p w14:paraId="2C6B7C27">
      <w:pPr>
        <w:spacing w:line="360" w:lineRule="auto"/>
        <w:ind w:firstLine="480" w:firstLineChars="200"/>
        <w:rPr>
          <w:rFonts w:hint="eastAsia" w:ascii="宋体" w:hAnsi="宋体"/>
          <w:kern w:val="0"/>
          <w:sz w:val="24"/>
          <w:lang w:val="de-DE"/>
        </w:rPr>
      </w:pPr>
      <w:r>
        <w:rPr>
          <w:rFonts w:hint="eastAsia" w:ascii="宋体" w:hAnsi="宋体"/>
          <w:kern w:val="0"/>
          <w:sz w:val="24"/>
          <w:lang w:val="de-DE"/>
        </w:rPr>
        <w:t>本标准主要规定了球床式高温气冷堆核动力厂多样性触发系统技术要求，适用于高温气冷堆核动力电厂多样性触发系统设计。</w:t>
      </w:r>
    </w:p>
    <w:p w14:paraId="3286B671">
      <w:pPr>
        <w:spacing w:line="360" w:lineRule="auto"/>
        <w:ind w:firstLine="480" w:firstLineChars="200"/>
        <w:rPr>
          <w:rFonts w:hint="eastAsia" w:ascii="宋体" w:hAnsi="宋体"/>
          <w:kern w:val="0"/>
          <w:sz w:val="24"/>
          <w:lang w:val="de-DE"/>
        </w:rPr>
      </w:pPr>
      <w:r>
        <w:rPr>
          <w:rFonts w:hint="eastAsia" w:ascii="宋体" w:hAnsi="宋体"/>
          <w:kern w:val="0"/>
          <w:sz w:val="24"/>
          <w:lang w:val="de-DE"/>
        </w:rPr>
        <w:t>2 规范性引用文件</w:t>
      </w:r>
    </w:p>
    <w:p w14:paraId="7511E876">
      <w:pPr>
        <w:spacing w:line="360" w:lineRule="auto"/>
        <w:ind w:firstLine="480" w:firstLineChars="200"/>
        <w:rPr>
          <w:rFonts w:hint="eastAsia" w:ascii="宋体" w:hAnsi="宋体"/>
          <w:kern w:val="0"/>
          <w:sz w:val="24"/>
          <w:lang w:val="de-DE"/>
        </w:rPr>
      </w:pPr>
      <w:r>
        <w:rPr>
          <w:rFonts w:hint="eastAsia" w:ascii="宋体" w:hAnsi="宋体"/>
          <w:kern w:val="0"/>
          <w:sz w:val="24"/>
          <w:lang w:val="de-DE"/>
        </w:rPr>
        <w:t>规范性引用文件按照团体标准的统一导语，并根据被引用标准的情况，对所引用的标准采用不注日期引用。</w:t>
      </w:r>
    </w:p>
    <w:p w14:paraId="4B0FE7C9">
      <w:pPr>
        <w:spacing w:line="360" w:lineRule="auto"/>
        <w:ind w:firstLine="480" w:firstLineChars="200"/>
        <w:rPr>
          <w:rFonts w:hint="eastAsia" w:ascii="宋体" w:hAnsi="宋体"/>
          <w:kern w:val="0"/>
          <w:sz w:val="24"/>
          <w:lang w:val="de-DE"/>
        </w:rPr>
      </w:pPr>
      <w:r>
        <w:rPr>
          <w:rFonts w:hint="eastAsia" w:ascii="宋体" w:hAnsi="宋体"/>
          <w:kern w:val="0"/>
          <w:sz w:val="24"/>
          <w:lang w:val="de-DE"/>
        </w:rPr>
        <w:t>3 术语和定义</w:t>
      </w:r>
    </w:p>
    <w:p w14:paraId="3C3BD9AB">
      <w:pPr>
        <w:spacing w:line="360" w:lineRule="auto"/>
        <w:ind w:firstLine="480" w:firstLineChars="200"/>
        <w:rPr>
          <w:rFonts w:hint="eastAsia" w:ascii="宋体" w:hAnsi="宋体"/>
          <w:kern w:val="0"/>
          <w:sz w:val="24"/>
          <w:lang w:val="de-DE"/>
        </w:rPr>
      </w:pPr>
      <w:r>
        <w:rPr>
          <w:rFonts w:hint="eastAsia" w:ascii="宋体" w:hAnsi="宋体"/>
          <w:kern w:val="0"/>
          <w:sz w:val="24"/>
          <w:lang w:val="de-DE"/>
        </w:rPr>
        <w:t>为了便于使用者阅读和理解，给出了本标准专用名词的解释。</w:t>
      </w:r>
    </w:p>
    <w:p w14:paraId="5F1A522E">
      <w:pPr>
        <w:spacing w:line="360" w:lineRule="auto"/>
        <w:ind w:firstLine="480" w:firstLineChars="200"/>
        <w:rPr>
          <w:rFonts w:hint="eastAsia" w:ascii="宋体" w:hAnsi="宋体"/>
          <w:kern w:val="0"/>
          <w:sz w:val="24"/>
          <w:lang w:val="de-DE"/>
        </w:rPr>
      </w:pPr>
      <w:r>
        <w:rPr>
          <w:rFonts w:hint="eastAsia" w:ascii="宋体" w:hAnsi="宋体"/>
          <w:kern w:val="0"/>
          <w:sz w:val="24"/>
          <w:lang w:val="de-DE"/>
        </w:rPr>
        <w:t>4 系统功能和分级</w:t>
      </w:r>
    </w:p>
    <w:p w14:paraId="0FCF9F7B">
      <w:pPr>
        <w:spacing w:line="360" w:lineRule="auto"/>
        <w:ind w:firstLine="480" w:firstLineChars="200"/>
        <w:rPr>
          <w:rFonts w:hint="eastAsia" w:ascii="宋体" w:hAnsi="宋体"/>
          <w:kern w:val="0"/>
          <w:sz w:val="24"/>
          <w:lang w:val="de-DE"/>
        </w:rPr>
      </w:pPr>
      <w:r>
        <w:rPr>
          <w:rFonts w:hint="eastAsia" w:ascii="宋体" w:hAnsi="宋体"/>
          <w:kern w:val="0"/>
          <w:sz w:val="24"/>
          <w:lang w:val="de-DE"/>
        </w:rPr>
        <w:t>本节规定了系统的功能、安全分级和抗震类别。</w:t>
      </w:r>
    </w:p>
    <w:p w14:paraId="2B25F353">
      <w:pPr>
        <w:spacing w:line="360" w:lineRule="auto"/>
        <w:ind w:firstLine="480" w:firstLineChars="200"/>
        <w:rPr>
          <w:rFonts w:hint="eastAsia" w:ascii="宋体" w:hAnsi="宋体"/>
          <w:kern w:val="0"/>
          <w:sz w:val="24"/>
          <w:lang w:val="de-DE"/>
        </w:rPr>
      </w:pPr>
      <w:r>
        <w:rPr>
          <w:rFonts w:hint="eastAsia" w:ascii="宋体" w:hAnsi="宋体"/>
          <w:kern w:val="0"/>
          <w:sz w:val="24"/>
          <w:lang w:val="de-DE"/>
        </w:rPr>
        <w:t>5 系统设计基准</w:t>
      </w:r>
    </w:p>
    <w:p w14:paraId="69F46F1F">
      <w:pPr>
        <w:spacing w:line="360" w:lineRule="auto"/>
        <w:ind w:firstLine="480" w:firstLineChars="200"/>
        <w:rPr>
          <w:rFonts w:hint="eastAsia" w:ascii="宋体" w:hAnsi="宋体"/>
          <w:kern w:val="0"/>
          <w:sz w:val="24"/>
          <w:lang w:val="de-DE"/>
        </w:rPr>
      </w:pPr>
      <w:r>
        <w:rPr>
          <w:rFonts w:hint="eastAsia" w:ascii="宋体" w:hAnsi="宋体"/>
          <w:kern w:val="0"/>
          <w:sz w:val="24"/>
          <w:lang w:val="de-DE"/>
        </w:rPr>
        <w:t>本节规定了系统的设计基准。</w:t>
      </w:r>
    </w:p>
    <w:p w14:paraId="6157EC66">
      <w:pPr>
        <w:spacing w:line="360" w:lineRule="auto"/>
        <w:ind w:firstLine="480" w:firstLineChars="200"/>
        <w:rPr>
          <w:rFonts w:hint="eastAsia" w:ascii="宋体" w:hAnsi="宋体"/>
          <w:kern w:val="0"/>
          <w:sz w:val="24"/>
          <w:lang w:val="de-DE"/>
        </w:rPr>
      </w:pPr>
      <w:r>
        <w:rPr>
          <w:rFonts w:hint="eastAsia" w:ascii="宋体" w:hAnsi="宋体"/>
          <w:kern w:val="0"/>
          <w:sz w:val="24"/>
          <w:lang w:val="de-DE"/>
        </w:rPr>
        <w:t>6 核心技术要求</w:t>
      </w:r>
    </w:p>
    <w:p w14:paraId="0514F3BA">
      <w:pPr>
        <w:spacing w:line="360" w:lineRule="auto"/>
        <w:ind w:firstLine="480" w:firstLineChars="200"/>
        <w:rPr>
          <w:rFonts w:hint="eastAsia" w:ascii="宋体" w:hAnsi="宋体"/>
          <w:kern w:val="0"/>
          <w:sz w:val="24"/>
          <w:lang w:val="de-DE"/>
        </w:rPr>
      </w:pPr>
      <w:r>
        <w:rPr>
          <w:rFonts w:hint="eastAsia" w:ascii="宋体" w:hAnsi="宋体"/>
          <w:kern w:val="0"/>
          <w:sz w:val="24"/>
          <w:lang w:val="de-DE"/>
        </w:rPr>
        <w:t>本节给出了核心技术要求，包括系统结构、控制方式、系统输入处理和输出、主要技术特性。其中主要技术特性包括：系统性能指标、环境适应性、电磁兼容性、抗震、材料选择、供电、接地、人机接口、网络安全等方面的要求。</w:t>
      </w:r>
    </w:p>
    <w:p w14:paraId="0FD6E4EA">
      <w:pPr>
        <w:spacing w:line="360" w:lineRule="auto"/>
        <w:ind w:firstLine="480" w:firstLineChars="200"/>
        <w:rPr>
          <w:rFonts w:hint="eastAsia" w:ascii="宋体" w:hAnsi="宋体"/>
          <w:kern w:val="0"/>
          <w:sz w:val="24"/>
          <w:lang w:val="de-DE"/>
        </w:rPr>
      </w:pPr>
      <w:r>
        <w:rPr>
          <w:rFonts w:hint="eastAsia" w:ascii="宋体" w:hAnsi="宋体"/>
          <w:kern w:val="0"/>
          <w:sz w:val="24"/>
          <w:lang w:val="de-DE"/>
        </w:rPr>
        <w:t>7 周期性校验</w:t>
      </w:r>
    </w:p>
    <w:p w14:paraId="42189D47">
      <w:pPr>
        <w:spacing w:line="360" w:lineRule="auto"/>
        <w:ind w:firstLine="480" w:firstLineChars="200"/>
        <w:rPr>
          <w:rFonts w:hint="eastAsia" w:ascii="宋体" w:hAnsi="宋体"/>
          <w:kern w:val="0"/>
          <w:sz w:val="24"/>
          <w:lang w:val="de-DE"/>
        </w:rPr>
      </w:pPr>
      <w:r>
        <w:rPr>
          <w:rFonts w:hint="eastAsia" w:ascii="宋体" w:hAnsi="宋体"/>
          <w:kern w:val="0"/>
          <w:sz w:val="24"/>
          <w:lang w:val="de-DE"/>
        </w:rPr>
        <w:t>本节给出了周期性校验的要求和实施安排。</w:t>
      </w:r>
    </w:p>
    <w:p w14:paraId="45569671">
      <w:pPr>
        <w:spacing w:line="360" w:lineRule="auto"/>
        <w:ind w:firstLine="480" w:firstLineChars="200"/>
        <w:rPr>
          <w:rFonts w:hint="eastAsia" w:ascii="宋体" w:hAnsi="宋体"/>
          <w:kern w:val="0"/>
          <w:sz w:val="24"/>
          <w:lang w:val="de-DE"/>
        </w:rPr>
      </w:pPr>
      <w:r>
        <w:rPr>
          <w:rFonts w:hint="eastAsia" w:ascii="宋体" w:hAnsi="宋体"/>
          <w:kern w:val="0"/>
          <w:sz w:val="24"/>
          <w:lang w:val="de-DE"/>
        </w:rPr>
        <w:t>8 安全分析</w:t>
      </w:r>
    </w:p>
    <w:p w14:paraId="61899AB1">
      <w:pPr>
        <w:spacing w:line="360" w:lineRule="auto"/>
        <w:ind w:firstLine="480" w:firstLineChars="200"/>
        <w:rPr>
          <w:rFonts w:hint="eastAsia" w:ascii="宋体" w:hAnsi="宋体"/>
          <w:kern w:val="0"/>
          <w:sz w:val="24"/>
        </w:rPr>
      </w:pPr>
      <w:r>
        <w:rPr>
          <w:rFonts w:hint="eastAsia" w:ascii="宋体" w:hAnsi="宋体"/>
          <w:kern w:val="0"/>
          <w:sz w:val="24"/>
          <w:lang w:val="de-DE"/>
        </w:rPr>
        <w:t>本节给出了对系统只需执行主氦风机停机功能而无需执行停堆等其他功能的分析说明。</w:t>
      </w:r>
    </w:p>
    <w:p w14:paraId="79C0E63B">
      <w:pPr>
        <w:numPr>
          <w:ilvl w:val="0"/>
          <w:numId w:val="1"/>
        </w:numPr>
        <w:spacing w:before="240" w:after="240" w:line="360" w:lineRule="auto"/>
        <w:rPr>
          <w:rFonts w:ascii="黑体" w:hAnsi="宋体" w:eastAsia="黑体"/>
          <w:sz w:val="28"/>
          <w:szCs w:val="28"/>
        </w:rPr>
      </w:pPr>
      <w:r>
        <w:rPr>
          <w:rFonts w:hint="eastAsia" w:ascii="黑体" w:hAnsi="宋体" w:eastAsia="黑体"/>
          <w:sz w:val="28"/>
          <w:szCs w:val="28"/>
        </w:rPr>
        <w:t>国内外相关标准现状分析</w:t>
      </w:r>
    </w:p>
    <w:p w14:paraId="6727DFEE">
      <w:pPr>
        <w:spacing w:before="240" w:line="360" w:lineRule="auto"/>
        <w:rPr>
          <w:rFonts w:hint="eastAsia" w:ascii="黑体" w:hAnsi="黑体" w:eastAsia="黑体"/>
          <w:kern w:val="0"/>
          <w:sz w:val="24"/>
        </w:rPr>
      </w:pPr>
      <w:r>
        <w:rPr>
          <w:rFonts w:hint="eastAsia" w:ascii="黑体" w:hAnsi="黑体" w:eastAsia="黑体"/>
          <w:kern w:val="0"/>
          <w:sz w:val="24"/>
        </w:rPr>
        <w:t>5.1 我国相关标准现状分析</w:t>
      </w:r>
    </w:p>
    <w:p w14:paraId="7FC6A066">
      <w:pPr>
        <w:spacing w:line="360" w:lineRule="auto"/>
        <w:ind w:firstLine="480"/>
        <w:rPr>
          <w:rFonts w:hint="eastAsia" w:asciiTheme="minorEastAsia" w:hAnsiTheme="minorEastAsia"/>
          <w:sz w:val="24"/>
          <w:szCs w:val="28"/>
          <w:lang w:val="de-DE" w:eastAsia="zh-CN"/>
        </w:rPr>
      </w:pPr>
      <w:r>
        <w:rPr>
          <w:rFonts w:hint="eastAsia" w:asciiTheme="minorEastAsia" w:hAnsiTheme="minorEastAsia"/>
          <w:sz w:val="24"/>
          <w:szCs w:val="28"/>
          <w:lang w:val="de-DE" w:eastAsia="zh-CN"/>
        </w:rPr>
        <w:t>目前我国的国标、行标中均无专门的针</w:t>
      </w:r>
      <w:bookmarkStart w:id="3" w:name="_GoBack"/>
      <w:bookmarkEnd w:id="3"/>
      <w:r>
        <w:rPr>
          <w:rFonts w:hint="eastAsia" w:asciiTheme="minorEastAsia" w:hAnsiTheme="minorEastAsia"/>
          <w:sz w:val="24"/>
          <w:szCs w:val="28"/>
          <w:lang w:val="de-DE" w:eastAsia="zh-CN"/>
        </w:rPr>
        <w:t>对核动力厂多样性触发系统的技术要求，相关总体要求存在HAF和HAD中。</w:t>
      </w:r>
    </w:p>
    <w:p w14:paraId="02045B53">
      <w:pPr>
        <w:pStyle w:val="20"/>
        <w:numPr>
          <w:ilvl w:val="0"/>
          <w:numId w:val="2"/>
        </w:numPr>
        <w:spacing w:line="360" w:lineRule="auto"/>
        <w:ind w:firstLineChars="0"/>
        <w:rPr>
          <w:rFonts w:asciiTheme="minorEastAsia" w:hAnsiTheme="minorEastAsia"/>
          <w:sz w:val="24"/>
          <w:szCs w:val="28"/>
          <w:lang w:val="de-DE" w:eastAsia="zh-CN"/>
        </w:rPr>
      </w:pPr>
      <w:r>
        <w:rPr>
          <w:rFonts w:asciiTheme="minorEastAsia" w:hAnsiTheme="minorEastAsia"/>
          <w:sz w:val="24"/>
          <w:szCs w:val="28"/>
          <w:lang w:val="de-DE" w:eastAsia="zh-CN"/>
        </w:rPr>
        <w:t>HAF102-2021</w:t>
      </w:r>
      <w:r>
        <w:rPr>
          <w:rFonts w:hint="eastAsia" w:asciiTheme="minorEastAsia" w:hAnsiTheme="minorEastAsia"/>
          <w:sz w:val="24"/>
          <w:szCs w:val="28"/>
          <w:lang w:val="de-DE" w:eastAsia="zh-CN"/>
        </w:rPr>
        <w:t>《核动力厂设计安全规定》：第</w:t>
      </w:r>
      <w:r>
        <w:rPr>
          <w:rFonts w:asciiTheme="minorEastAsia" w:hAnsiTheme="minorEastAsia"/>
          <w:sz w:val="24"/>
          <w:szCs w:val="28"/>
          <w:lang w:val="de-DE" w:eastAsia="zh-CN"/>
        </w:rPr>
        <w:t>6.4.5.2</w:t>
      </w:r>
      <w:r>
        <w:rPr>
          <w:rFonts w:hint="eastAsia" w:asciiTheme="minorEastAsia" w:hAnsiTheme="minorEastAsia"/>
          <w:sz w:val="24"/>
          <w:szCs w:val="28"/>
          <w:lang w:val="de-DE" w:eastAsia="zh-CN"/>
        </w:rPr>
        <w:t>条：对安全系统或安全有关系统中基于计算机的设备“必须考虑由软件引起的共因故障”。</w:t>
      </w:r>
    </w:p>
    <w:p w14:paraId="7C3032C6">
      <w:pPr>
        <w:pStyle w:val="20"/>
        <w:numPr>
          <w:ilvl w:val="0"/>
          <w:numId w:val="2"/>
        </w:numPr>
        <w:spacing w:line="360" w:lineRule="auto"/>
        <w:ind w:firstLineChars="0"/>
        <w:rPr>
          <w:rFonts w:asciiTheme="minorEastAsia" w:hAnsiTheme="minorEastAsia"/>
          <w:sz w:val="24"/>
          <w:szCs w:val="28"/>
          <w:lang w:val="de-DE" w:eastAsia="zh-CN"/>
        </w:rPr>
      </w:pPr>
      <w:r>
        <w:rPr>
          <w:rFonts w:asciiTheme="minorEastAsia" w:hAnsiTheme="minorEastAsia"/>
          <w:sz w:val="24"/>
          <w:szCs w:val="28"/>
          <w:lang w:val="de-DE" w:eastAsia="zh-CN"/>
        </w:rPr>
        <w:t>HAD102/10-2021</w:t>
      </w:r>
      <w:r>
        <w:rPr>
          <w:rFonts w:hint="eastAsia" w:asciiTheme="minorEastAsia" w:hAnsiTheme="minorEastAsia"/>
          <w:sz w:val="24"/>
          <w:szCs w:val="28"/>
          <w:lang w:val="de-DE" w:eastAsia="zh-CN"/>
        </w:rPr>
        <w:t>《核动力厂仪表和控制系统设计》：从仪控系统的可靠性设计和分析、纵深防御和多样性设计和分析等方面较为全面地阐述了数字化仪控系统共因故障的应对方法。</w:t>
      </w:r>
    </w:p>
    <w:p w14:paraId="6018DBE7">
      <w:pPr>
        <w:spacing w:line="360" w:lineRule="auto"/>
        <w:ind w:firstLine="480"/>
        <w:rPr>
          <w:rFonts w:hint="eastAsia" w:asciiTheme="minorEastAsia" w:hAnsiTheme="minorEastAsia"/>
          <w:sz w:val="24"/>
          <w:szCs w:val="28"/>
          <w:lang w:val="de-DE" w:eastAsia="zh-CN"/>
        </w:rPr>
      </w:pPr>
      <w:r>
        <w:rPr>
          <w:rFonts w:hint="eastAsia" w:asciiTheme="minorEastAsia" w:hAnsiTheme="minorEastAsia"/>
          <w:sz w:val="24"/>
          <w:szCs w:val="28"/>
          <w:lang w:val="de-DE" w:eastAsia="zh-CN"/>
        </w:rPr>
        <w:t>国内实践普遍参照美国核管会（US NRC）的导则以及我国核安全局的评审实践进行设计。</w:t>
      </w:r>
    </w:p>
    <w:p w14:paraId="34B91525">
      <w:pPr>
        <w:spacing w:before="240" w:line="360" w:lineRule="auto"/>
        <w:rPr>
          <w:rFonts w:hint="eastAsia" w:ascii="黑体" w:hAnsi="黑体" w:eastAsia="黑体"/>
          <w:kern w:val="0"/>
          <w:sz w:val="24"/>
        </w:rPr>
      </w:pPr>
      <w:r>
        <w:rPr>
          <w:rFonts w:hint="eastAsia" w:ascii="黑体" w:hAnsi="黑体" w:eastAsia="黑体"/>
          <w:kern w:val="0"/>
          <w:sz w:val="24"/>
        </w:rPr>
        <w:t>5.2 国外相关标准现状分析</w:t>
      </w:r>
    </w:p>
    <w:p w14:paraId="3B6CF952">
      <w:pPr>
        <w:spacing w:line="360" w:lineRule="auto"/>
        <w:ind w:firstLine="480"/>
        <w:rPr>
          <w:rFonts w:hint="eastAsia" w:asciiTheme="minorEastAsia" w:hAnsiTheme="minorEastAsia"/>
          <w:sz w:val="24"/>
          <w:szCs w:val="28"/>
          <w:lang w:val="de-DE" w:eastAsia="zh-CN"/>
        </w:rPr>
      </w:pPr>
      <w:r>
        <w:rPr>
          <w:rFonts w:hint="eastAsia" w:asciiTheme="minorEastAsia" w:hAnsiTheme="minorEastAsia"/>
          <w:sz w:val="24"/>
          <w:szCs w:val="28"/>
          <w:lang w:val="de-DE" w:eastAsia="zh-CN"/>
        </w:rPr>
        <w:t>国际上的相关导则标准有：</w:t>
      </w:r>
    </w:p>
    <w:p w14:paraId="5EA58033">
      <w:pPr>
        <w:pStyle w:val="20"/>
        <w:numPr>
          <w:ilvl w:val="0"/>
          <w:numId w:val="3"/>
        </w:numPr>
        <w:spacing w:line="360" w:lineRule="auto"/>
        <w:ind w:firstLineChars="0"/>
        <w:rPr>
          <w:rFonts w:asciiTheme="minorEastAsia" w:hAnsiTheme="minorEastAsia"/>
          <w:sz w:val="24"/>
          <w:szCs w:val="28"/>
          <w:lang w:val="de-DE" w:eastAsia="zh-CN"/>
        </w:rPr>
      </w:pPr>
      <w:r>
        <w:rPr>
          <w:rFonts w:hint="eastAsia" w:asciiTheme="minorEastAsia" w:hAnsiTheme="minorEastAsia"/>
          <w:sz w:val="24"/>
          <w:szCs w:val="28"/>
          <w:lang w:val="de-DE" w:eastAsia="zh-CN"/>
        </w:rPr>
        <w:t>美国核管会的《核电厂安全分析报告标准审查大纲》（</w:t>
      </w:r>
      <w:r>
        <w:rPr>
          <w:rFonts w:asciiTheme="minorEastAsia" w:hAnsiTheme="minorEastAsia"/>
          <w:sz w:val="24"/>
          <w:szCs w:val="28"/>
          <w:lang w:val="de-DE" w:eastAsia="zh-CN"/>
        </w:rPr>
        <w:t>NUREG-0800</w:t>
      </w:r>
      <w:r>
        <w:rPr>
          <w:rFonts w:hint="eastAsia" w:asciiTheme="minorEastAsia" w:hAnsiTheme="minorEastAsia"/>
          <w:sz w:val="24"/>
          <w:szCs w:val="28"/>
          <w:lang w:val="de-DE" w:eastAsia="zh-CN"/>
        </w:rPr>
        <w:t>）的</w:t>
      </w:r>
      <w:r>
        <w:rPr>
          <w:rFonts w:asciiTheme="minorEastAsia" w:hAnsiTheme="minorEastAsia"/>
          <w:sz w:val="24"/>
          <w:szCs w:val="28"/>
          <w:lang w:val="de-DE" w:eastAsia="zh-CN"/>
        </w:rPr>
        <w:t>7.8</w:t>
      </w:r>
      <w:r>
        <w:rPr>
          <w:rFonts w:hint="eastAsia" w:asciiTheme="minorEastAsia" w:hAnsiTheme="minorEastAsia"/>
          <w:sz w:val="24"/>
          <w:szCs w:val="28"/>
          <w:lang w:val="de-DE" w:eastAsia="zh-CN"/>
        </w:rPr>
        <w:t>节“多样性仪表和控制系统”；</w:t>
      </w:r>
    </w:p>
    <w:p w14:paraId="0E341453">
      <w:pPr>
        <w:pStyle w:val="20"/>
        <w:numPr>
          <w:ilvl w:val="0"/>
          <w:numId w:val="3"/>
        </w:numPr>
        <w:spacing w:line="360" w:lineRule="auto"/>
        <w:ind w:firstLineChars="0"/>
        <w:rPr>
          <w:rFonts w:asciiTheme="minorEastAsia" w:hAnsiTheme="minorEastAsia"/>
          <w:sz w:val="24"/>
          <w:szCs w:val="28"/>
          <w:lang w:val="de-DE" w:eastAsia="zh-CN"/>
        </w:rPr>
      </w:pPr>
      <w:r>
        <w:rPr>
          <w:rFonts w:hint="eastAsia" w:asciiTheme="minorEastAsia" w:hAnsiTheme="minorEastAsia"/>
          <w:sz w:val="24"/>
          <w:szCs w:val="28"/>
          <w:lang w:val="de-DE" w:eastAsia="zh-CN"/>
        </w:rPr>
        <w:t>美国核管会</w:t>
      </w:r>
      <w:r>
        <w:rPr>
          <w:rFonts w:asciiTheme="minorEastAsia" w:hAnsiTheme="minorEastAsia"/>
          <w:sz w:val="24"/>
          <w:szCs w:val="28"/>
          <w:lang w:val="de-DE" w:eastAsia="zh-CN"/>
        </w:rPr>
        <w:t>NUREG-0800 BTP 7-19</w:t>
      </w:r>
      <w:r>
        <w:rPr>
          <w:rFonts w:hint="eastAsia" w:asciiTheme="minorEastAsia" w:hAnsiTheme="minorEastAsia"/>
          <w:sz w:val="24"/>
          <w:szCs w:val="28"/>
          <w:lang w:val="de-DE" w:eastAsia="zh-CN"/>
        </w:rPr>
        <w:t>《关于评估基于数字计算机的仪表与控制系统的多样性及深度防御的指南》：给出</w:t>
      </w:r>
      <w:r>
        <w:rPr>
          <w:rFonts w:asciiTheme="minorEastAsia" w:hAnsiTheme="minorEastAsia"/>
          <w:sz w:val="24"/>
          <w:szCs w:val="28"/>
          <w:lang w:val="de-DE" w:eastAsia="zh-CN"/>
        </w:rPr>
        <w:t>D3</w:t>
      </w:r>
      <w:r>
        <w:rPr>
          <w:rFonts w:hint="eastAsia" w:asciiTheme="minorEastAsia" w:hAnsiTheme="minorEastAsia"/>
          <w:sz w:val="24"/>
          <w:szCs w:val="28"/>
          <w:lang w:val="de-DE" w:eastAsia="zh-CN"/>
        </w:rPr>
        <w:t>（</w:t>
      </w:r>
      <w:r>
        <w:rPr>
          <w:rFonts w:asciiTheme="minorEastAsia" w:hAnsiTheme="minorEastAsia"/>
          <w:sz w:val="24"/>
          <w:szCs w:val="28"/>
          <w:lang w:val="de-DE" w:eastAsia="zh-CN"/>
        </w:rPr>
        <w:t>Diversity &amp; Defense-in-Depth</w:t>
      </w:r>
      <w:r>
        <w:rPr>
          <w:rFonts w:hint="eastAsia" w:asciiTheme="minorEastAsia" w:hAnsiTheme="minorEastAsia"/>
          <w:sz w:val="24"/>
          <w:szCs w:val="28"/>
          <w:lang w:val="de-DE" w:eastAsia="zh-CN"/>
        </w:rPr>
        <w:t>）定量</w:t>
      </w:r>
      <w:r>
        <w:rPr>
          <w:rFonts w:asciiTheme="minorEastAsia" w:hAnsiTheme="minorEastAsia"/>
          <w:sz w:val="24"/>
          <w:szCs w:val="28"/>
          <w:lang w:val="de-DE" w:eastAsia="zh-CN"/>
        </w:rPr>
        <w:t>/</w:t>
      </w:r>
      <w:r>
        <w:rPr>
          <w:rFonts w:hint="eastAsia" w:asciiTheme="minorEastAsia" w:hAnsiTheme="minorEastAsia"/>
          <w:sz w:val="24"/>
          <w:szCs w:val="28"/>
          <w:lang w:val="de-DE" w:eastAsia="zh-CN"/>
        </w:rPr>
        <w:t>定性分析流程和验收准则；</w:t>
      </w:r>
    </w:p>
    <w:p w14:paraId="7EFC67ED">
      <w:pPr>
        <w:pStyle w:val="20"/>
        <w:numPr>
          <w:ilvl w:val="0"/>
          <w:numId w:val="3"/>
        </w:numPr>
        <w:spacing w:line="360" w:lineRule="auto"/>
        <w:ind w:firstLineChars="0"/>
        <w:rPr>
          <w:rFonts w:asciiTheme="minorEastAsia" w:hAnsiTheme="minorEastAsia"/>
          <w:sz w:val="24"/>
          <w:szCs w:val="28"/>
          <w:lang w:val="de-DE" w:eastAsia="zh-CN"/>
        </w:rPr>
      </w:pPr>
      <w:r>
        <w:rPr>
          <w:rFonts w:hint="eastAsia" w:asciiTheme="minorEastAsia" w:hAnsiTheme="minorEastAsia"/>
          <w:sz w:val="24"/>
          <w:szCs w:val="28"/>
          <w:lang w:val="de-DE" w:eastAsia="zh-CN"/>
        </w:rPr>
        <w:t>美国核管会</w:t>
      </w:r>
      <w:r>
        <w:rPr>
          <w:rFonts w:asciiTheme="minorEastAsia" w:hAnsiTheme="minorEastAsia"/>
          <w:sz w:val="24"/>
          <w:szCs w:val="28"/>
          <w:lang w:val="de-DE" w:eastAsia="zh-CN"/>
        </w:rPr>
        <w:t>NUREG/CR-7007</w:t>
      </w:r>
      <w:r>
        <w:rPr>
          <w:rFonts w:hint="eastAsia" w:asciiTheme="minorEastAsia" w:hAnsiTheme="minorEastAsia"/>
          <w:sz w:val="24"/>
          <w:szCs w:val="28"/>
          <w:lang w:val="de-DE" w:eastAsia="zh-CN"/>
        </w:rPr>
        <w:t>《核电厂仪控多样性策略》：列出</w:t>
      </w:r>
      <w:r>
        <w:rPr>
          <w:rFonts w:asciiTheme="minorEastAsia" w:hAnsiTheme="minorEastAsia"/>
          <w:sz w:val="24"/>
          <w:szCs w:val="28"/>
          <w:lang w:val="de-DE" w:eastAsia="zh-CN"/>
        </w:rPr>
        <w:t>6</w:t>
      </w:r>
      <w:r>
        <w:rPr>
          <w:rFonts w:hint="eastAsia" w:asciiTheme="minorEastAsia" w:hAnsiTheme="minorEastAsia"/>
          <w:sz w:val="24"/>
          <w:szCs w:val="28"/>
          <w:lang w:val="de-DE" w:eastAsia="zh-CN"/>
        </w:rPr>
        <w:t>类多样性属性（设计、设备、软件、功能、信号、人员）及推荐组合，用于证明“多样化手段”满足美国核管会立场；</w:t>
      </w:r>
    </w:p>
    <w:p w14:paraId="342BDCA5">
      <w:pPr>
        <w:pStyle w:val="20"/>
        <w:numPr>
          <w:ilvl w:val="0"/>
          <w:numId w:val="3"/>
        </w:numPr>
        <w:spacing w:line="360" w:lineRule="auto"/>
        <w:ind w:firstLineChars="0"/>
        <w:rPr>
          <w:rFonts w:asciiTheme="minorEastAsia" w:hAnsiTheme="minorEastAsia"/>
          <w:sz w:val="24"/>
          <w:szCs w:val="28"/>
          <w:lang w:val="de-DE" w:eastAsia="zh-CN"/>
        </w:rPr>
      </w:pPr>
      <w:r>
        <w:rPr>
          <w:rFonts w:hint="eastAsia" w:asciiTheme="minorEastAsia" w:hAnsiTheme="minorEastAsia"/>
          <w:sz w:val="24"/>
          <w:szCs w:val="28"/>
          <w:lang w:val="de-DE" w:eastAsia="zh-CN"/>
        </w:rPr>
        <w:t>国际原子能机构《核电厂多样化触发系统准则》（</w:t>
      </w:r>
      <w:r>
        <w:rPr>
          <w:rFonts w:asciiTheme="minorEastAsia" w:hAnsiTheme="minorEastAsia"/>
          <w:sz w:val="24"/>
          <w:szCs w:val="28"/>
          <w:lang w:val="de-DE" w:eastAsia="zh-CN"/>
        </w:rPr>
        <w:t>Criteria for Diverse Actuation Systems for Nuclear Power Plants</w:t>
      </w:r>
      <w:r>
        <w:rPr>
          <w:rFonts w:hint="eastAsia" w:asciiTheme="minorEastAsia" w:hAnsiTheme="minorEastAsia"/>
          <w:sz w:val="24"/>
          <w:szCs w:val="28"/>
          <w:lang w:val="de-DE" w:eastAsia="zh-CN"/>
        </w:rPr>
        <w:t>，</w:t>
      </w:r>
      <w:r>
        <w:rPr>
          <w:rFonts w:asciiTheme="minorEastAsia" w:hAnsiTheme="minorEastAsia"/>
          <w:sz w:val="24"/>
          <w:szCs w:val="28"/>
          <w:lang w:val="de-DE" w:eastAsia="zh-CN"/>
        </w:rPr>
        <w:t>IAEA-TECDOC-1848</w:t>
      </w:r>
      <w:r>
        <w:rPr>
          <w:rFonts w:hint="eastAsia" w:asciiTheme="minorEastAsia" w:hAnsiTheme="minorEastAsia"/>
          <w:sz w:val="24"/>
          <w:szCs w:val="28"/>
          <w:lang w:val="de-DE" w:eastAsia="zh-CN"/>
        </w:rPr>
        <w:t>）；</w:t>
      </w:r>
    </w:p>
    <w:p w14:paraId="11BC6F00">
      <w:pPr>
        <w:pStyle w:val="20"/>
        <w:numPr>
          <w:ilvl w:val="0"/>
          <w:numId w:val="3"/>
        </w:numPr>
        <w:spacing w:line="360" w:lineRule="auto"/>
        <w:ind w:firstLineChars="0"/>
        <w:rPr>
          <w:rFonts w:asciiTheme="minorEastAsia" w:hAnsiTheme="minorEastAsia"/>
          <w:sz w:val="24"/>
          <w:szCs w:val="28"/>
          <w:lang w:val="de-DE" w:eastAsia="zh-CN"/>
        </w:rPr>
      </w:pPr>
      <w:r>
        <w:rPr>
          <w:rFonts w:hint="eastAsia" w:asciiTheme="minorEastAsia" w:hAnsiTheme="minorEastAsia"/>
          <w:sz w:val="24"/>
          <w:szCs w:val="28"/>
          <w:lang w:val="de-DE" w:eastAsia="zh-CN"/>
        </w:rPr>
        <w:t>国际原子能机构《核电厂仪控系统总体架构的实现方法》（</w:t>
      </w:r>
      <w:r>
        <w:rPr>
          <w:rFonts w:asciiTheme="minorEastAsia" w:hAnsiTheme="minorEastAsia"/>
          <w:sz w:val="24"/>
          <w:szCs w:val="28"/>
          <w:lang w:val="de-DE" w:eastAsia="zh-CN"/>
        </w:rPr>
        <w:t>Approaches for Overall Instrumentation and Control Architectures of Nuclear Power Plants</w:t>
      </w:r>
      <w:r>
        <w:rPr>
          <w:rFonts w:hint="eastAsia" w:asciiTheme="minorEastAsia" w:hAnsiTheme="minorEastAsia"/>
          <w:sz w:val="24"/>
          <w:szCs w:val="28"/>
          <w:lang w:val="de-DE" w:eastAsia="zh-CN"/>
        </w:rPr>
        <w:t>，</w:t>
      </w:r>
      <w:r>
        <w:rPr>
          <w:rFonts w:asciiTheme="minorEastAsia" w:hAnsiTheme="minorEastAsia"/>
          <w:sz w:val="24"/>
          <w:szCs w:val="28"/>
          <w:lang w:val="de-DE" w:eastAsia="zh-CN"/>
        </w:rPr>
        <w:t>IAEA-NP-T-2.11</w:t>
      </w:r>
      <w:r>
        <w:rPr>
          <w:rFonts w:hint="eastAsia" w:asciiTheme="minorEastAsia" w:hAnsiTheme="minorEastAsia"/>
          <w:sz w:val="24"/>
          <w:szCs w:val="28"/>
          <w:lang w:val="de-DE" w:eastAsia="zh-CN"/>
        </w:rPr>
        <w:t>）中的核电厂</w:t>
      </w:r>
      <w:r>
        <w:rPr>
          <w:rFonts w:asciiTheme="minorEastAsia" w:hAnsiTheme="minorEastAsia"/>
          <w:sz w:val="24"/>
          <w:szCs w:val="28"/>
          <w:lang w:val="de-DE" w:eastAsia="zh-CN"/>
        </w:rPr>
        <w:t>5</w:t>
      </w:r>
      <w:r>
        <w:rPr>
          <w:rFonts w:hint="eastAsia" w:asciiTheme="minorEastAsia" w:hAnsiTheme="minorEastAsia"/>
          <w:sz w:val="24"/>
          <w:szCs w:val="28"/>
          <w:lang w:val="de-DE" w:eastAsia="zh-CN"/>
        </w:rPr>
        <w:t>层纵深防御基础上增加“</w:t>
      </w:r>
      <w:r>
        <w:rPr>
          <w:rFonts w:asciiTheme="minorEastAsia" w:hAnsiTheme="minorEastAsia"/>
          <w:sz w:val="24"/>
          <w:szCs w:val="28"/>
          <w:lang w:val="de-DE" w:eastAsia="zh-CN"/>
        </w:rPr>
        <w:t>3b</w:t>
      </w:r>
      <w:r>
        <w:rPr>
          <w:rFonts w:hint="eastAsia" w:asciiTheme="minorEastAsia" w:hAnsiTheme="minorEastAsia"/>
          <w:sz w:val="24"/>
          <w:szCs w:val="28"/>
          <w:lang w:val="de-DE" w:eastAsia="zh-CN"/>
        </w:rPr>
        <w:t>层”以应对数字化仪控系统共因故障。</w:t>
      </w:r>
    </w:p>
    <w:p w14:paraId="35A2144D">
      <w:pPr>
        <w:spacing w:line="360" w:lineRule="auto"/>
        <w:ind w:firstLine="480"/>
        <w:rPr>
          <w:rFonts w:hint="eastAsia" w:asciiTheme="minorEastAsia" w:hAnsiTheme="minorEastAsia"/>
          <w:sz w:val="24"/>
          <w:szCs w:val="28"/>
          <w:lang w:val="de-DE" w:eastAsia="zh-CN"/>
        </w:rPr>
      </w:pPr>
      <w:r>
        <w:rPr>
          <w:rFonts w:hint="eastAsia" w:asciiTheme="minorEastAsia" w:hAnsiTheme="minorEastAsia"/>
          <w:sz w:val="24"/>
          <w:szCs w:val="28"/>
          <w:lang w:val="de-DE" w:eastAsia="zh-CN"/>
        </w:rPr>
        <w:t>上述导则和技术出版物均针对水堆核电厂，而不含高温气冷堆。</w:t>
      </w:r>
    </w:p>
    <w:p w14:paraId="795446D6">
      <w:pPr>
        <w:numPr>
          <w:ilvl w:val="0"/>
          <w:numId w:val="1"/>
        </w:numPr>
        <w:spacing w:before="240" w:after="240" w:line="360" w:lineRule="auto"/>
        <w:rPr>
          <w:rFonts w:ascii="黑体" w:hAnsi="宋体" w:eastAsia="黑体"/>
          <w:sz w:val="28"/>
          <w:szCs w:val="28"/>
        </w:rPr>
      </w:pPr>
      <w:r>
        <w:rPr>
          <w:rFonts w:hint="eastAsia" w:ascii="黑体" w:hAnsi="宋体" w:eastAsia="黑体"/>
          <w:sz w:val="28"/>
          <w:szCs w:val="28"/>
        </w:rPr>
        <w:t>主要</w:t>
      </w:r>
      <w:r>
        <w:rPr>
          <w:rFonts w:ascii="黑体" w:hAnsi="宋体" w:eastAsia="黑体"/>
          <w:sz w:val="28"/>
          <w:szCs w:val="28"/>
        </w:rPr>
        <w:t>试验验证</w:t>
      </w:r>
      <w:r>
        <w:rPr>
          <w:rFonts w:hint="eastAsia" w:ascii="黑体" w:hAnsi="宋体" w:eastAsia="黑体"/>
          <w:sz w:val="28"/>
          <w:szCs w:val="28"/>
        </w:rPr>
        <w:t>情况和预期达到的效果</w:t>
      </w:r>
    </w:p>
    <w:p w14:paraId="405A10AC">
      <w:pPr>
        <w:spacing w:before="240" w:line="360" w:lineRule="auto"/>
        <w:rPr>
          <w:rFonts w:hint="eastAsia" w:ascii="黑体" w:hAnsi="黑体" w:eastAsia="黑体"/>
          <w:kern w:val="0"/>
          <w:sz w:val="24"/>
        </w:rPr>
      </w:pPr>
      <w:r>
        <w:rPr>
          <w:rFonts w:hint="eastAsia" w:ascii="黑体" w:hAnsi="黑体" w:eastAsia="黑体"/>
          <w:kern w:val="0"/>
          <w:sz w:val="24"/>
        </w:rPr>
        <w:t>6.1 主要试验验证情况</w:t>
      </w:r>
    </w:p>
    <w:p w14:paraId="0BC2E970">
      <w:pPr>
        <w:spacing w:line="360" w:lineRule="auto"/>
        <w:ind w:firstLine="480"/>
        <w:rPr>
          <w:rFonts w:ascii="Calibri" w:hAnsi="Calibri" w:eastAsia="宋体" w:cs="Times New Roman"/>
          <w:sz w:val="24"/>
        </w:rPr>
      </w:pPr>
      <w:r>
        <w:rPr>
          <w:rFonts w:hint="eastAsia" w:ascii="Calibri" w:hAnsi="Calibri" w:eastAsia="宋体" w:cs="Times New Roman"/>
          <w:sz w:val="24"/>
        </w:rPr>
        <w:t>本标准应用于20万高温气冷堆示范工程、600MW高温气冷堆示范工程、江苏徐圩核能供热发电厂一期工程（高温气冷堆）等项目。</w:t>
      </w:r>
    </w:p>
    <w:p w14:paraId="4F758BF6">
      <w:pPr>
        <w:spacing w:before="240" w:line="360" w:lineRule="auto"/>
        <w:rPr>
          <w:rFonts w:hint="eastAsia" w:ascii="黑体" w:hAnsi="黑体" w:eastAsia="黑体"/>
          <w:kern w:val="0"/>
          <w:sz w:val="24"/>
        </w:rPr>
      </w:pPr>
      <w:r>
        <w:rPr>
          <w:rFonts w:hint="eastAsia" w:ascii="黑体" w:hAnsi="黑体" w:eastAsia="黑体"/>
          <w:kern w:val="0"/>
          <w:sz w:val="24"/>
        </w:rPr>
        <w:t>6.2 预期达到的效果</w:t>
      </w:r>
    </w:p>
    <w:p w14:paraId="2A6ED436">
      <w:pPr>
        <w:spacing w:line="360" w:lineRule="auto"/>
        <w:ind w:firstLine="480"/>
        <w:rPr>
          <w:rFonts w:ascii="Calibri" w:hAnsi="Calibri" w:eastAsia="宋体" w:cs="Times New Roman"/>
          <w:sz w:val="24"/>
        </w:rPr>
      </w:pPr>
      <w:r>
        <w:rPr>
          <w:rFonts w:ascii="Calibri" w:hAnsi="Calibri" w:eastAsia="宋体" w:cs="Times New Roman"/>
          <w:sz w:val="24"/>
        </w:rPr>
        <w:t>预期经济效益</w:t>
      </w:r>
      <w:r>
        <w:rPr>
          <w:rFonts w:hint="eastAsia" w:ascii="Calibri" w:hAnsi="Calibri" w:eastAsia="宋体" w:cs="Times New Roman"/>
          <w:sz w:val="24"/>
        </w:rPr>
        <w:t>为：</w:t>
      </w:r>
    </w:p>
    <w:p w14:paraId="78CFF2AE">
      <w:pPr>
        <w:numPr>
          <w:ilvl w:val="0"/>
          <w:numId w:val="4"/>
        </w:numPr>
        <w:spacing w:line="360" w:lineRule="auto"/>
        <w:rPr>
          <w:rFonts w:ascii="Calibri" w:hAnsi="Calibri" w:eastAsia="宋体" w:cs="Times New Roman"/>
          <w:sz w:val="24"/>
        </w:rPr>
      </w:pPr>
      <w:r>
        <w:rPr>
          <w:rFonts w:ascii="Calibri" w:hAnsi="Calibri" w:eastAsia="宋体" w:cs="Times New Roman"/>
          <w:sz w:val="24"/>
        </w:rPr>
        <w:t>大幅降低工程设备与建设成本： 利用高温气冷堆多模块多模组的特征，标准固化了</w:t>
      </w:r>
      <w:r>
        <w:rPr>
          <w:rFonts w:hint="eastAsia" w:ascii="Calibri" w:hAnsi="Calibri" w:eastAsia="宋体" w:cs="Times New Roman"/>
          <w:sz w:val="24"/>
        </w:rPr>
        <w:t>“</w:t>
      </w:r>
      <w:r>
        <w:rPr>
          <w:rFonts w:ascii="Calibri" w:hAnsi="Calibri" w:eastAsia="宋体" w:cs="Times New Roman"/>
          <w:sz w:val="24"/>
        </w:rPr>
        <w:t>CPE功能按模组合并</w:t>
      </w:r>
      <w:r>
        <w:rPr>
          <w:rFonts w:hint="eastAsia" w:ascii="Calibri" w:hAnsi="Calibri" w:eastAsia="宋体" w:cs="Times New Roman"/>
          <w:sz w:val="24"/>
        </w:rPr>
        <w:t>”</w:t>
      </w:r>
      <w:r>
        <w:rPr>
          <w:rFonts w:ascii="Calibri" w:hAnsi="Calibri" w:eastAsia="宋体" w:cs="Times New Roman"/>
          <w:sz w:val="24"/>
        </w:rPr>
        <w:t>的设计理念。这打破了传统水堆按</w:t>
      </w:r>
      <w:r>
        <w:rPr>
          <w:rFonts w:hint="eastAsia" w:ascii="Calibri" w:hAnsi="Calibri" w:eastAsia="宋体" w:cs="Times New Roman"/>
          <w:sz w:val="24"/>
        </w:rPr>
        <w:t>“</w:t>
      </w:r>
      <w:r>
        <w:rPr>
          <w:rFonts w:ascii="Calibri" w:hAnsi="Calibri" w:eastAsia="宋体" w:cs="Times New Roman"/>
          <w:sz w:val="24"/>
        </w:rPr>
        <w:t>一堆一机</w:t>
      </w:r>
      <w:r>
        <w:rPr>
          <w:rFonts w:hint="eastAsia" w:ascii="Calibri" w:hAnsi="Calibri" w:eastAsia="宋体" w:cs="Times New Roman"/>
          <w:sz w:val="24"/>
        </w:rPr>
        <w:t>”</w:t>
      </w:r>
      <w:r>
        <w:rPr>
          <w:rFonts w:ascii="Calibri" w:hAnsi="Calibri" w:eastAsia="宋体" w:cs="Times New Roman"/>
          <w:sz w:val="24"/>
        </w:rPr>
        <w:t>配置的模式，能最大限度减少CPE装置和机柜的数量，直接节省仪控系统的硬件采购、电缆敷设及空间占用成本。</w:t>
      </w:r>
    </w:p>
    <w:p w14:paraId="5C9DFFF6">
      <w:pPr>
        <w:numPr>
          <w:ilvl w:val="0"/>
          <w:numId w:val="4"/>
        </w:numPr>
        <w:spacing w:line="360" w:lineRule="auto"/>
        <w:rPr>
          <w:rFonts w:ascii="Calibri" w:hAnsi="Calibri" w:eastAsia="宋体" w:cs="Times New Roman"/>
          <w:sz w:val="24"/>
        </w:rPr>
      </w:pPr>
      <w:r>
        <w:rPr>
          <w:rFonts w:ascii="Calibri" w:hAnsi="Calibri" w:eastAsia="宋体" w:cs="Times New Roman"/>
          <w:sz w:val="24"/>
        </w:rPr>
        <w:t>优化系统架构以降低研发与设计成本： 标准明确了高温堆CPE系统相比水堆大大简化的变量监测和触发动作（如仅执行主氦风机停机，无需执行停堆等），避免设计人员重复进行不必要的复杂性设计，提高了设计效率，降低了设计迭代成本。</w:t>
      </w:r>
    </w:p>
    <w:p w14:paraId="347158DC">
      <w:pPr>
        <w:numPr>
          <w:ilvl w:val="0"/>
          <w:numId w:val="4"/>
        </w:numPr>
        <w:spacing w:line="360" w:lineRule="auto"/>
        <w:rPr>
          <w:rFonts w:ascii="Calibri" w:hAnsi="Calibri" w:eastAsia="宋体" w:cs="Times New Roman"/>
          <w:sz w:val="24"/>
        </w:rPr>
      </w:pPr>
      <w:r>
        <w:rPr>
          <w:rFonts w:ascii="Calibri" w:hAnsi="Calibri" w:eastAsia="宋体" w:cs="Times New Roman"/>
          <w:sz w:val="24"/>
        </w:rPr>
        <w:t>避免过度设计造成的资源浪费： 明确了CPE系统应对的是概率极低的设计扩展工况，可按非安全级要求设计（不要求满足单一故障准则、不按失效/失电安全设计）。这一界定避免了将非安全级系统盲目升级为安全级系统所带来的高昂鉴定和冗余配置成本。</w:t>
      </w:r>
    </w:p>
    <w:p w14:paraId="7B6AB740">
      <w:pPr>
        <w:spacing w:line="360" w:lineRule="auto"/>
        <w:ind w:firstLine="480" w:firstLineChars="200"/>
        <w:rPr>
          <w:rFonts w:ascii="Calibri" w:hAnsi="Calibri" w:eastAsia="宋体" w:cs="Times New Roman"/>
          <w:sz w:val="24"/>
        </w:rPr>
      </w:pPr>
      <w:r>
        <w:rPr>
          <w:rFonts w:ascii="Calibri" w:hAnsi="Calibri" w:eastAsia="宋体" w:cs="Times New Roman"/>
          <w:sz w:val="24"/>
        </w:rPr>
        <w:t>预期社会效益</w:t>
      </w:r>
      <w:r>
        <w:rPr>
          <w:rFonts w:hint="eastAsia" w:ascii="Calibri" w:hAnsi="Calibri" w:eastAsia="宋体" w:cs="Times New Roman"/>
          <w:sz w:val="24"/>
        </w:rPr>
        <w:t>为：</w:t>
      </w:r>
    </w:p>
    <w:p w14:paraId="48050F74">
      <w:pPr>
        <w:numPr>
          <w:ilvl w:val="0"/>
          <w:numId w:val="5"/>
        </w:numPr>
        <w:spacing w:line="360" w:lineRule="auto"/>
        <w:rPr>
          <w:rFonts w:ascii="Calibri" w:hAnsi="Calibri" w:eastAsia="宋体" w:cs="Times New Roman"/>
          <w:sz w:val="24"/>
        </w:rPr>
      </w:pPr>
      <w:r>
        <w:rPr>
          <w:rFonts w:ascii="Calibri" w:hAnsi="Calibri" w:eastAsia="宋体" w:cs="Times New Roman"/>
          <w:sz w:val="24"/>
        </w:rPr>
        <w:t>填补国内标准空白，规范行业发展： 改变国内现有多样性触发系统设计完全照搬美国NUREG-0800（针对水堆）导则的现状。为高温气冷堆多样性触发系统制定专门的技术要求标准，规范和指导未来高温堆核动力厂的设计，提升我国在先进核能标准体系制定上的话语权。</w:t>
      </w:r>
    </w:p>
    <w:p w14:paraId="052EC310">
      <w:pPr>
        <w:numPr>
          <w:ilvl w:val="0"/>
          <w:numId w:val="5"/>
        </w:numPr>
        <w:spacing w:line="360" w:lineRule="auto"/>
        <w:rPr>
          <w:rFonts w:ascii="Calibri" w:hAnsi="Calibri" w:eastAsia="宋体" w:cs="Times New Roman"/>
          <w:sz w:val="24"/>
        </w:rPr>
      </w:pPr>
      <w:r>
        <w:rPr>
          <w:rFonts w:ascii="Calibri" w:hAnsi="Calibri" w:eastAsia="宋体" w:cs="Times New Roman"/>
          <w:sz w:val="24"/>
        </w:rPr>
        <w:t>固化自主创新成果，推广先进核电技术： 总结提炼了我国在高温气冷堆设计与工程实践中的经验，将其转化为标准，有利于我国具有自主知识产权的高温气冷堆技术的规范化推广和</w:t>
      </w:r>
      <w:r>
        <w:rPr>
          <w:rFonts w:hint="eastAsia" w:ascii="Calibri" w:hAnsi="Calibri" w:eastAsia="宋体" w:cs="Times New Roman"/>
          <w:sz w:val="24"/>
        </w:rPr>
        <w:t>“</w:t>
      </w:r>
      <w:r>
        <w:rPr>
          <w:rFonts w:ascii="Calibri" w:hAnsi="Calibri" w:eastAsia="宋体" w:cs="Times New Roman"/>
          <w:sz w:val="24"/>
        </w:rPr>
        <w:t>走出去</w:t>
      </w:r>
      <w:r>
        <w:rPr>
          <w:rFonts w:hint="eastAsia" w:ascii="Calibri" w:hAnsi="Calibri" w:eastAsia="宋体" w:cs="Times New Roman"/>
          <w:sz w:val="24"/>
        </w:rPr>
        <w:t>”</w:t>
      </w:r>
      <w:r>
        <w:rPr>
          <w:rFonts w:ascii="Calibri" w:hAnsi="Calibri" w:eastAsia="宋体" w:cs="Times New Roman"/>
          <w:sz w:val="24"/>
        </w:rPr>
        <w:t>。</w:t>
      </w:r>
    </w:p>
    <w:p w14:paraId="6DFE0232">
      <w:pPr>
        <w:numPr>
          <w:ilvl w:val="0"/>
          <w:numId w:val="5"/>
        </w:numPr>
        <w:spacing w:line="360" w:lineRule="auto"/>
        <w:rPr>
          <w:rFonts w:ascii="Calibri" w:hAnsi="Calibri" w:eastAsia="宋体" w:cs="Times New Roman"/>
          <w:sz w:val="24"/>
        </w:rPr>
      </w:pPr>
      <w:r>
        <w:rPr>
          <w:rFonts w:ascii="Calibri" w:hAnsi="Calibri" w:eastAsia="宋体" w:cs="Times New Roman"/>
          <w:sz w:val="24"/>
        </w:rPr>
        <w:t>提升核电厂运行安全性与操纵员效率： 系统的简化和合并，以及明确的手动/自动操作逻辑，减轻了操纵员的操作负担，提高了人机交互的效率与可靠性。</w:t>
      </w:r>
    </w:p>
    <w:p w14:paraId="141BCBBC">
      <w:pPr>
        <w:numPr>
          <w:ilvl w:val="0"/>
          <w:numId w:val="1"/>
        </w:numPr>
        <w:spacing w:before="240" w:after="240" w:line="360" w:lineRule="auto"/>
        <w:rPr>
          <w:rFonts w:ascii="黑体" w:eastAsia="黑体"/>
          <w:sz w:val="28"/>
          <w:szCs w:val="28"/>
        </w:rPr>
      </w:pPr>
      <w:r>
        <w:rPr>
          <w:rFonts w:hint="eastAsia" w:ascii="黑体" w:eastAsia="黑体"/>
          <w:sz w:val="28"/>
          <w:szCs w:val="28"/>
        </w:rPr>
        <w:t>与现行法律、法规、政策及相关标准的协调性</w:t>
      </w:r>
    </w:p>
    <w:p w14:paraId="18A6F20A">
      <w:pPr>
        <w:pStyle w:val="24"/>
        <w:spacing w:line="360" w:lineRule="auto"/>
        <w:ind w:firstLine="480"/>
        <w:rPr>
          <w:rFonts w:ascii="黑体" w:hAnsi="宋体"/>
          <w:sz w:val="24"/>
          <w:szCs w:val="28"/>
          <w:lang w:val="de-DE"/>
        </w:rPr>
      </w:pPr>
      <w:r>
        <w:rPr>
          <w:rFonts w:hint="eastAsia" w:ascii="黑体" w:hAnsi="宋体"/>
          <w:sz w:val="24"/>
          <w:szCs w:val="28"/>
          <w:lang w:val="de-DE"/>
        </w:rPr>
        <w:t>本标准技术内容符合国家核安全技术法规</w:t>
      </w:r>
      <w:r>
        <w:rPr>
          <w:rFonts w:hint="eastAsia" w:ascii="黑体" w:hAnsi="宋体"/>
          <w:sz w:val="24"/>
          <w:szCs w:val="28"/>
        </w:rPr>
        <w:t>及</w:t>
      </w:r>
      <w:r>
        <w:rPr>
          <w:rFonts w:hint="eastAsia" w:ascii="黑体" w:hAnsi="宋体"/>
          <w:sz w:val="24"/>
          <w:szCs w:val="28"/>
          <w:lang w:val="de-DE"/>
        </w:rPr>
        <w:t>导则要求。</w:t>
      </w:r>
    </w:p>
    <w:p w14:paraId="3E093D75">
      <w:pPr>
        <w:numPr>
          <w:ilvl w:val="0"/>
          <w:numId w:val="1"/>
        </w:numPr>
        <w:spacing w:before="240" w:after="240" w:line="360" w:lineRule="auto"/>
        <w:rPr>
          <w:rFonts w:ascii="黑体" w:eastAsia="黑体"/>
          <w:sz w:val="28"/>
          <w:szCs w:val="28"/>
        </w:rPr>
      </w:pPr>
      <w:r>
        <w:rPr>
          <w:rFonts w:hint="eastAsia" w:ascii="黑体" w:eastAsia="黑体"/>
          <w:sz w:val="28"/>
          <w:szCs w:val="28"/>
        </w:rPr>
        <w:t>贯彻标准的要求和措施建议</w:t>
      </w:r>
    </w:p>
    <w:p w14:paraId="36E4EBAB">
      <w:pPr>
        <w:spacing w:before="240" w:after="240" w:line="360" w:lineRule="auto"/>
        <w:rPr>
          <w:rFonts w:ascii="黑体"/>
          <w:sz w:val="28"/>
          <w:szCs w:val="28"/>
        </w:rPr>
      </w:pPr>
      <w:r>
        <w:rPr>
          <w:rFonts w:hint="eastAsia" w:ascii="黑体" w:eastAsia="黑体"/>
          <w:sz w:val="28"/>
          <w:szCs w:val="28"/>
        </w:rPr>
        <w:t xml:space="preserve">    </w:t>
      </w:r>
      <w:r>
        <w:rPr>
          <w:rFonts w:hint="eastAsia" w:ascii="黑体" w:hAnsi="宋体" w:eastAsia="宋体" w:cs="宋体"/>
          <w:kern w:val="0"/>
          <w:sz w:val="24"/>
          <w:szCs w:val="28"/>
        </w:rPr>
        <w:t>本标准发布后，建议</w:t>
      </w:r>
      <w:r>
        <w:rPr>
          <w:rFonts w:hint="eastAsia" w:ascii="宋体" w:hAnsi="宋体"/>
          <w:kern w:val="0"/>
          <w:sz w:val="24"/>
        </w:rPr>
        <w:t>高温气冷堆核动力厂</w:t>
      </w:r>
      <w:r>
        <w:rPr>
          <w:rFonts w:hint="eastAsia" w:ascii="黑体" w:hAnsi="宋体" w:eastAsia="宋体" w:cs="宋体"/>
          <w:kern w:val="0"/>
          <w:sz w:val="24"/>
          <w:szCs w:val="28"/>
        </w:rPr>
        <w:t>等相关设计、运营单位采用。本标准发布后立即实施。</w:t>
      </w:r>
    </w:p>
    <w:p w14:paraId="3877FF6A">
      <w:pPr>
        <w:numPr>
          <w:ilvl w:val="0"/>
          <w:numId w:val="1"/>
        </w:numPr>
        <w:spacing w:before="240" w:after="240" w:line="360" w:lineRule="auto"/>
        <w:rPr>
          <w:rFonts w:ascii="黑体" w:eastAsia="黑体"/>
          <w:sz w:val="28"/>
          <w:szCs w:val="28"/>
        </w:rPr>
      </w:pPr>
      <w:r>
        <w:rPr>
          <w:rFonts w:hint="eastAsia" w:ascii="黑体" w:eastAsia="黑体"/>
          <w:sz w:val="28"/>
          <w:szCs w:val="28"/>
        </w:rPr>
        <w:t>重大分歧意见的处理经过和依据</w:t>
      </w:r>
    </w:p>
    <w:p w14:paraId="0AFAEDCB">
      <w:pPr>
        <w:pStyle w:val="24"/>
        <w:spacing w:line="360" w:lineRule="auto"/>
        <w:ind w:firstLine="480"/>
        <w:rPr>
          <w:rFonts w:ascii="黑体" w:hAnsi="宋体"/>
          <w:sz w:val="24"/>
          <w:szCs w:val="28"/>
          <w:lang w:val="de-DE"/>
        </w:rPr>
      </w:pPr>
      <w:r>
        <w:rPr>
          <w:rFonts w:hint="eastAsia" w:ascii="黑体" w:hAnsi="宋体"/>
          <w:sz w:val="24"/>
          <w:szCs w:val="28"/>
          <w:lang w:val="de-DE"/>
        </w:rPr>
        <w:t>本标准起草过程中无重大分歧意见。</w:t>
      </w:r>
    </w:p>
    <w:p w14:paraId="02813390">
      <w:pPr>
        <w:numPr>
          <w:ilvl w:val="0"/>
          <w:numId w:val="1"/>
        </w:numPr>
        <w:spacing w:before="240" w:after="240" w:line="360" w:lineRule="auto"/>
        <w:rPr>
          <w:rFonts w:ascii="黑体" w:eastAsia="黑体"/>
          <w:sz w:val="28"/>
          <w:szCs w:val="28"/>
        </w:rPr>
      </w:pPr>
      <w:r>
        <w:rPr>
          <w:rFonts w:hint="eastAsia" w:ascii="黑体" w:eastAsia="黑体"/>
          <w:sz w:val="28"/>
          <w:szCs w:val="28"/>
        </w:rPr>
        <w:t>涉及专利的有关说明</w:t>
      </w:r>
    </w:p>
    <w:p w14:paraId="2AD1212B">
      <w:pPr>
        <w:pStyle w:val="24"/>
        <w:spacing w:line="360" w:lineRule="auto"/>
        <w:ind w:firstLine="480"/>
        <w:rPr>
          <w:rFonts w:ascii="黑体" w:hAnsi="宋体"/>
          <w:sz w:val="24"/>
          <w:szCs w:val="28"/>
          <w:lang w:val="de-DE"/>
        </w:rPr>
      </w:pPr>
      <w:r>
        <w:rPr>
          <w:rFonts w:hint="eastAsia" w:ascii="黑体" w:hAnsi="宋体"/>
          <w:sz w:val="24"/>
          <w:szCs w:val="28"/>
          <w:lang w:val="de-DE"/>
        </w:rPr>
        <w:t>本标准不涉及专利。</w:t>
      </w:r>
    </w:p>
    <w:p w14:paraId="6A0ABF21">
      <w:pPr>
        <w:numPr>
          <w:ilvl w:val="0"/>
          <w:numId w:val="1"/>
        </w:numPr>
        <w:spacing w:before="240" w:after="240" w:line="360" w:lineRule="auto"/>
        <w:rPr>
          <w:rFonts w:ascii="黑体" w:eastAsia="黑体"/>
          <w:sz w:val="28"/>
          <w:szCs w:val="28"/>
        </w:rPr>
      </w:pPr>
      <w:r>
        <w:rPr>
          <w:rFonts w:ascii="黑体" w:eastAsia="黑体"/>
          <w:sz w:val="28"/>
          <w:szCs w:val="28"/>
        </w:rPr>
        <w:t>其它事项</w:t>
      </w:r>
    </w:p>
    <w:p w14:paraId="02EED62F">
      <w:pPr>
        <w:spacing w:line="360" w:lineRule="auto"/>
        <w:ind w:firstLine="480" w:firstLineChars="200"/>
        <w:rPr>
          <w:rFonts w:ascii="黑体" w:eastAsia="黑体"/>
          <w:sz w:val="28"/>
          <w:szCs w:val="28"/>
        </w:rPr>
      </w:pPr>
      <w:r>
        <w:rPr>
          <w:rFonts w:hint="eastAsia"/>
          <w:sz w:val="24"/>
        </w:rPr>
        <w:t>无/调整申请等情况</w:t>
      </w:r>
      <w:r>
        <w:rPr>
          <w:rFonts w:hint="eastAsia" w:ascii="黑体" w:hAnsi="宋体"/>
          <w:sz w:val="24"/>
          <w:szCs w:val="28"/>
          <w:lang w:val="de-DE"/>
        </w:rPr>
        <w:t>。</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EBDC0">
    <w:pPr>
      <w:pStyle w:val="8"/>
      <w:jc w:val="center"/>
    </w:pPr>
  </w:p>
  <w:p w14:paraId="3735267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0474950"/>
    </w:sdtPr>
    <w:sdtEndPr>
      <w:rPr>
        <w:rFonts w:asciiTheme="minorEastAsia" w:hAnsiTheme="minorEastAsia"/>
        <w:sz w:val="21"/>
        <w:szCs w:val="21"/>
      </w:rPr>
    </w:sdtEndPr>
    <w:sdtContent>
      <w:p w14:paraId="2D70635B">
        <w:pPr>
          <w:pStyle w:val="8"/>
          <w:jc w:val="center"/>
          <w:rPr>
            <w:rFonts w:asciiTheme="minorEastAsia" w:hAnsiTheme="minorEastAsia"/>
            <w:sz w:val="21"/>
            <w:szCs w:val="21"/>
          </w:rPr>
        </w:pPr>
        <w:r>
          <w:rPr>
            <w:rFonts w:asciiTheme="minorEastAsia" w:hAnsiTheme="minorEastAsia"/>
            <w:sz w:val="21"/>
            <w:szCs w:val="21"/>
          </w:rPr>
          <w:fldChar w:fldCharType="begin"/>
        </w:r>
        <w:r>
          <w:rPr>
            <w:rFonts w:asciiTheme="minorEastAsia" w:hAnsiTheme="minorEastAsia"/>
            <w:sz w:val="21"/>
            <w:szCs w:val="21"/>
          </w:rPr>
          <w:instrText xml:space="preserve">PAGE   \* MERGEFORMAT</w:instrText>
        </w:r>
        <w:r>
          <w:rPr>
            <w:rFonts w:asciiTheme="minorEastAsia" w:hAnsiTheme="minorEastAsia"/>
            <w:sz w:val="21"/>
            <w:szCs w:val="21"/>
          </w:rPr>
          <w:fldChar w:fldCharType="separate"/>
        </w:r>
        <w:r>
          <w:rPr>
            <w:rFonts w:asciiTheme="minorEastAsia" w:hAnsiTheme="minorEastAsia"/>
            <w:sz w:val="21"/>
            <w:szCs w:val="21"/>
            <w:lang w:val="zh-CN"/>
          </w:rPr>
          <w:t>2</w:t>
        </w:r>
        <w:r>
          <w:rPr>
            <w:rFonts w:asciiTheme="minorEastAsia" w:hAnsiTheme="minorEastAsia"/>
            <w:sz w:val="21"/>
            <w:szCs w:val="21"/>
          </w:rPr>
          <w:fldChar w:fldCharType="end"/>
        </w:r>
      </w:p>
    </w:sdtContent>
  </w:sdt>
  <w:p w14:paraId="1793BE58">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137799"/>
    <w:multiLevelType w:val="multilevel"/>
    <w:tmpl w:val="0F137799"/>
    <w:lvl w:ilvl="0" w:tentative="0">
      <w:start w:val="1"/>
      <w:numFmt w:val="bullet"/>
      <w:lvlText w:val=""/>
      <w:lvlJc w:val="left"/>
      <w:pPr>
        <w:tabs>
          <w:tab w:val="left" w:pos="720"/>
        </w:tabs>
        <w:ind w:left="720" w:hanging="36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3E973CE"/>
    <w:multiLevelType w:val="multilevel"/>
    <w:tmpl w:val="13E973CE"/>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2">
    <w:nsid w:val="2D4E3D38"/>
    <w:multiLevelType w:val="multilevel"/>
    <w:tmpl w:val="2D4E3D38"/>
    <w:lvl w:ilvl="0" w:tentative="0">
      <w:start w:val="1"/>
      <w:numFmt w:val="japaneseCounting"/>
      <w:lvlText w:val="%1、"/>
      <w:lvlJc w:val="left"/>
      <w:pPr>
        <w:tabs>
          <w:tab w:val="left" w:pos="720"/>
        </w:tabs>
        <w:ind w:left="720" w:hanging="720"/>
      </w:pPr>
      <w:rPr>
        <w:rFonts w:hint="eastAsia"/>
        <w:sz w:val="28"/>
        <w:szCs w:val="28"/>
      </w:rPr>
    </w:lvl>
    <w:lvl w:ilvl="1" w:tentative="0">
      <w:start w:val="1"/>
      <w:numFmt w:val="decimal"/>
      <w:lvlText w:val="%2."/>
      <w:lvlJc w:val="left"/>
      <w:pPr>
        <w:tabs>
          <w:tab w:val="left" w:pos="840"/>
        </w:tabs>
        <w:ind w:left="840" w:hanging="4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5D80913"/>
    <w:multiLevelType w:val="multilevel"/>
    <w:tmpl w:val="55D80913"/>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4">
    <w:nsid w:val="5A6F2CF7"/>
    <w:multiLevelType w:val="multilevel"/>
    <w:tmpl w:val="5A6F2CF7"/>
    <w:lvl w:ilvl="0" w:tentative="0">
      <w:start w:val="1"/>
      <w:numFmt w:val="bullet"/>
      <w:lvlText w:val=""/>
      <w:lvlJc w:val="left"/>
      <w:pPr>
        <w:tabs>
          <w:tab w:val="left" w:pos="720"/>
        </w:tabs>
        <w:ind w:left="720" w:hanging="36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3D5D6A"/>
    <w:rsid w:val="0001035E"/>
    <w:rsid w:val="00020F20"/>
    <w:rsid w:val="00032502"/>
    <w:rsid w:val="000352E2"/>
    <w:rsid w:val="00036EF6"/>
    <w:rsid w:val="00053FEC"/>
    <w:rsid w:val="0006333A"/>
    <w:rsid w:val="0006411B"/>
    <w:rsid w:val="0006596B"/>
    <w:rsid w:val="00066DB3"/>
    <w:rsid w:val="0008573B"/>
    <w:rsid w:val="00087647"/>
    <w:rsid w:val="00091E9C"/>
    <w:rsid w:val="000A366A"/>
    <w:rsid w:val="000E4C1C"/>
    <w:rsid w:val="000E59E1"/>
    <w:rsid w:val="000E6B69"/>
    <w:rsid w:val="000F2FED"/>
    <w:rsid w:val="00120BF8"/>
    <w:rsid w:val="00135FE4"/>
    <w:rsid w:val="00162AC3"/>
    <w:rsid w:val="001662F4"/>
    <w:rsid w:val="00171731"/>
    <w:rsid w:val="001815E0"/>
    <w:rsid w:val="0018410B"/>
    <w:rsid w:val="0018750C"/>
    <w:rsid w:val="001A04B6"/>
    <w:rsid w:val="001C3A26"/>
    <w:rsid w:val="001C4ED9"/>
    <w:rsid w:val="001D1932"/>
    <w:rsid w:val="001D1C95"/>
    <w:rsid w:val="001D53B0"/>
    <w:rsid w:val="001D5C80"/>
    <w:rsid w:val="001D7C70"/>
    <w:rsid w:val="001F3979"/>
    <w:rsid w:val="001F78E8"/>
    <w:rsid w:val="002248E2"/>
    <w:rsid w:val="00230930"/>
    <w:rsid w:val="00231B37"/>
    <w:rsid w:val="0023271D"/>
    <w:rsid w:val="00255933"/>
    <w:rsid w:val="0026281F"/>
    <w:rsid w:val="00262F65"/>
    <w:rsid w:val="00263F77"/>
    <w:rsid w:val="00271E11"/>
    <w:rsid w:val="00272FB6"/>
    <w:rsid w:val="00277521"/>
    <w:rsid w:val="002837DD"/>
    <w:rsid w:val="002A3631"/>
    <w:rsid w:val="002B4EF8"/>
    <w:rsid w:val="002C70FD"/>
    <w:rsid w:val="002E7FC9"/>
    <w:rsid w:val="002F19CD"/>
    <w:rsid w:val="003023D6"/>
    <w:rsid w:val="003054DF"/>
    <w:rsid w:val="00347448"/>
    <w:rsid w:val="003477F4"/>
    <w:rsid w:val="00360720"/>
    <w:rsid w:val="00360880"/>
    <w:rsid w:val="0036585E"/>
    <w:rsid w:val="00374640"/>
    <w:rsid w:val="00376793"/>
    <w:rsid w:val="00377A70"/>
    <w:rsid w:val="00380A66"/>
    <w:rsid w:val="00384434"/>
    <w:rsid w:val="00384F6C"/>
    <w:rsid w:val="0039353C"/>
    <w:rsid w:val="00397253"/>
    <w:rsid w:val="003A7847"/>
    <w:rsid w:val="003C1750"/>
    <w:rsid w:val="003D5D6A"/>
    <w:rsid w:val="003D6964"/>
    <w:rsid w:val="003D73E7"/>
    <w:rsid w:val="003E0D1B"/>
    <w:rsid w:val="003E6660"/>
    <w:rsid w:val="003F4F38"/>
    <w:rsid w:val="0041093F"/>
    <w:rsid w:val="0041513D"/>
    <w:rsid w:val="00421780"/>
    <w:rsid w:val="00434B44"/>
    <w:rsid w:val="004351D2"/>
    <w:rsid w:val="004570FA"/>
    <w:rsid w:val="004629BF"/>
    <w:rsid w:val="004818B1"/>
    <w:rsid w:val="00482C0B"/>
    <w:rsid w:val="00487D8A"/>
    <w:rsid w:val="0049012E"/>
    <w:rsid w:val="00493B74"/>
    <w:rsid w:val="00494F73"/>
    <w:rsid w:val="004A39CA"/>
    <w:rsid w:val="004B012F"/>
    <w:rsid w:val="004B1ED8"/>
    <w:rsid w:val="004C1E82"/>
    <w:rsid w:val="004D5C7C"/>
    <w:rsid w:val="004E1878"/>
    <w:rsid w:val="00501090"/>
    <w:rsid w:val="00510B30"/>
    <w:rsid w:val="00535B6B"/>
    <w:rsid w:val="00565379"/>
    <w:rsid w:val="00577081"/>
    <w:rsid w:val="00583F07"/>
    <w:rsid w:val="00592463"/>
    <w:rsid w:val="00593417"/>
    <w:rsid w:val="005C060A"/>
    <w:rsid w:val="005C67D7"/>
    <w:rsid w:val="005D2B6F"/>
    <w:rsid w:val="005D459D"/>
    <w:rsid w:val="005E7DA2"/>
    <w:rsid w:val="005F1089"/>
    <w:rsid w:val="005F324A"/>
    <w:rsid w:val="006015F7"/>
    <w:rsid w:val="00604D60"/>
    <w:rsid w:val="00624A40"/>
    <w:rsid w:val="00656297"/>
    <w:rsid w:val="006807F9"/>
    <w:rsid w:val="006842A7"/>
    <w:rsid w:val="0069218C"/>
    <w:rsid w:val="006A3ED7"/>
    <w:rsid w:val="006A5A31"/>
    <w:rsid w:val="006B0792"/>
    <w:rsid w:val="006B2375"/>
    <w:rsid w:val="006C67AB"/>
    <w:rsid w:val="006D2527"/>
    <w:rsid w:val="006D2A2A"/>
    <w:rsid w:val="006D654C"/>
    <w:rsid w:val="006E39BB"/>
    <w:rsid w:val="006F71DF"/>
    <w:rsid w:val="00726B81"/>
    <w:rsid w:val="0073764F"/>
    <w:rsid w:val="00737BD6"/>
    <w:rsid w:val="00741DD1"/>
    <w:rsid w:val="00762A7F"/>
    <w:rsid w:val="007640A6"/>
    <w:rsid w:val="00765F81"/>
    <w:rsid w:val="007823B4"/>
    <w:rsid w:val="007945C1"/>
    <w:rsid w:val="007C6FFA"/>
    <w:rsid w:val="008049C5"/>
    <w:rsid w:val="00822669"/>
    <w:rsid w:val="0082296F"/>
    <w:rsid w:val="008272B6"/>
    <w:rsid w:val="00830678"/>
    <w:rsid w:val="00832DCD"/>
    <w:rsid w:val="00841E8E"/>
    <w:rsid w:val="00860227"/>
    <w:rsid w:val="00861D8F"/>
    <w:rsid w:val="0087331D"/>
    <w:rsid w:val="008948AF"/>
    <w:rsid w:val="00897716"/>
    <w:rsid w:val="008B7981"/>
    <w:rsid w:val="008C08D5"/>
    <w:rsid w:val="008C15E6"/>
    <w:rsid w:val="008C1B69"/>
    <w:rsid w:val="008D2FD7"/>
    <w:rsid w:val="008D5EBD"/>
    <w:rsid w:val="008D5EDF"/>
    <w:rsid w:val="008E636A"/>
    <w:rsid w:val="00911329"/>
    <w:rsid w:val="00930ED7"/>
    <w:rsid w:val="00943FCA"/>
    <w:rsid w:val="00944650"/>
    <w:rsid w:val="00946F21"/>
    <w:rsid w:val="00953C06"/>
    <w:rsid w:val="009656CB"/>
    <w:rsid w:val="009666A8"/>
    <w:rsid w:val="0096672D"/>
    <w:rsid w:val="00991817"/>
    <w:rsid w:val="009A07E0"/>
    <w:rsid w:val="009A3084"/>
    <w:rsid w:val="009A3AEB"/>
    <w:rsid w:val="009C2184"/>
    <w:rsid w:val="009D5501"/>
    <w:rsid w:val="009E1897"/>
    <w:rsid w:val="00A02C1A"/>
    <w:rsid w:val="00A036B1"/>
    <w:rsid w:val="00A1629E"/>
    <w:rsid w:val="00A23528"/>
    <w:rsid w:val="00A332CC"/>
    <w:rsid w:val="00A3410F"/>
    <w:rsid w:val="00A41EDF"/>
    <w:rsid w:val="00A454E1"/>
    <w:rsid w:val="00A513CB"/>
    <w:rsid w:val="00A52E1A"/>
    <w:rsid w:val="00A539F9"/>
    <w:rsid w:val="00A80789"/>
    <w:rsid w:val="00A85ED0"/>
    <w:rsid w:val="00A94B8A"/>
    <w:rsid w:val="00AA0012"/>
    <w:rsid w:val="00AA1D40"/>
    <w:rsid w:val="00AA7212"/>
    <w:rsid w:val="00AB1BC4"/>
    <w:rsid w:val="00AB7EB3"/>
    <w:rsid w:val="00AC6EC0"/>
    <w:rsid w:val="00AD1385"/>
    <w:rsid w:val="00AD342B"/>
    <w:rsid w:val="00AD4BFC"/>
    <w:rsid w:val="00AE2E13"/>
    <w:rsid w:val="00B1176B"/>
    <w:rsid w:val="00B27905"/>
    <w:rsid w:val="00B349BD"/>
    <w:rsid w:val="00B41CF5"/>
    <w:rsid w:val="00B43477"/>
    <w:rsid w:val="00B464BF"/>
    <w:rsid w:val="00B46840"/>
    <w:rsid w:val="00B565BB"/>
    <w:rsid w:val="00B66BA8"/>
    <w:rsid w:val="00B67AB9"/>
    <w:rsid w:val="00B75C75"/>
    <w:rsid w:val="00B80B98"/>
    <w:rsid w:val="00B833F4"/>
    <w:rsid w:val="00B86AC2"/>
    <w:rsid w:val="00B87C55"/>
    <w:rsid w:val="00B90D7E"/>
    <w:rsid w:val="00B94209"/>
    <w:rsid w:val="00BA5C3D"/>
    <w:rsid w:val="00BB232B"/>
    <w:rsid w:val="00BB5C26"/>
    <w:rsid w:val="00BD58C2"/>
    <w:rsid w:val="00BE5AE0"/>
    <w:rsid w:val="00BF3CE3"/>
    <w:rsid w:val="00BF53A9"/>
    <w:rsid w:val="00C10AE7"/>
    <w:rsid w:val="00C158DF"/>
    <w:rsid w:val="00C37E1D"/>
    <w:rsid w:val="00C37F78"/>
    <w:rsid w:val="00C632FF"/>
    <w:rsid w:val="00C70CFC"/>
    <w:rsid w:val="00C82498"/>
    <w:rsid w:val="00CA1A9A"/>
    <w:rsid w:val="00CB4F95"/>
    <w:rsid w:val="00CC5982"/>
    <w:rsid w:val="00CE54C8"/>
    <w:rsid w:val="00D04AF0"/>
    <w:rsid w:val="00D12DB6"/>
    <w:rsid w:val="00D377FB"/>
    <w:rsid w:val="00D82D77"/>
    <w:rsid w:val="00D86897"/>
    <w:rsid w:val="00D90C74"/>
    <w:rsid w:val="00DA0699"/>
    <w:rsid w:val="00DA0763"/>
    <w:rsid w:val="00DC337B"/>
    <w:rsid w:val="00DD3CF8"/>
    <w:rsid w:val="00DD4EE0"/>
    <w:rsid w:val="00DE1542"/>
    <w:rsid w:val="00DE6559"/>
    <w:rsid w:val="00E05368"/>
    <w:rsid w:val="00E10B69"/>
    <w:rsid w:val="00E360CB"/>
    <w:rsid w:val="00E36FC3"/>
    <w:rsid w:val="00E76A7B"/>
    <w:rsid w:val="00E90100"/>
    <w:rsid w:val="00E9625E"/>
    <w:rsid w:val="00EA4970"/>
    <w:rsid w:val="00EB3A01"/>
    <w:rsid w:val="00EE5E5C"/>
    <w:rsid w:val="00EF1882"/>
    <w:rsid w:val="00EF4C74"/>
    <w:rsid w:val="00F147EB"/>
    <w:rsid w:val="00F17050"/>
    <w:rsid w:val="00F30D51"/>
    <w:rsid w:val="00F35566"/>
    <w:rsid w:val="00F35DF2"/>
    <w:rsid w:val="00F3622B"/>
    <w:rsid w:val="00F424E8"/>
    <w:rsid w:val="00F45DC7"/>
    <w:rsid w:val="00F605AE"/>
    <w:rsid w:val="00F67197"/>
    <w:rsid w:val="00F705C5"/>
    <w:rsid w:val="00F90CC9"/>
    <w:rsid w:val="00F915CB"/>
    <w:rsid w:val="00F95E18"/>
    <w:rsid w:val="00FA44BA"/>
    <w:rsid w:val="00FA6510"/>
    <w:rsid w:val="00FC3B05"/>
    <w:rsid w:val="00FD2C1D"/>
    <w:rsid w:val="00FE2BD7"/>
    <w:rsid w:val="00FE741B"/>
    <w:rsid w:val="099044F7"/>
    <w:rsid w:val="2C041C52"/>
    <w:rsid w:val="401C0E4D"/>
    <w:rsid w:val="465F41FD"/>
    <w:rsid w:val="50675AC9"/>
    <w:rsid w:val="5B9067AF"/>
    <w:rsid w:val="7C307515"/>
    <w:rsid w:val="7C775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4">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9"/>
    <w:semiHidden/>
    <w:unhideWhenUsed/>
    <w:qFormat/>
    <w:uiPriority w:val="99"/>
    <w:pPr>
      <w:jc w:val="left"/>
    </w:pPr>
  </w:style>
  <w:style w:type="paragraph" w:styleId="6">
    <w:name w:val="Body Text"/>
    <w:basedOn w:val="1"/>
    <w:link w:val="31"/>
    <w:qFormat/>
    <w:uiPriority w:val="1"/>
    <w:pPr>
      <w:autoSpaceDE w:val="0"/>
      <w:autoSpaceDN w:val="0"/>
      <w:jc w:val="left"/>
    </w:pPr>
    <w:rPr>
      <w:rFonts w:ascii="宋体" w:hAnsi="宋体" w:eastAsia="宋体" w:cs="宋体"/>
      <w:kern w:val="0"/>
      <w:sz w:val="32"/>
      <w:szCs w:val="32"/>
      <w:lang w:eastAsia="en-US"/>
    </w:rPr>
  </w:style>
  <w:style w:type="paragraph" w:styleId="7">
    <w:name w:val="Balloon Text"/>
    <w:basedOn w:val="1"/>
    <w:link w:val="27"/>
    <w:semiHidden/>
    <w:unhideWhenUsed/>
    <w:qFormat/>
    <w:uiPriority w:val="99"/>
    <w:rPr>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8"/>
    <w:semiHidden/>
    <w:unhideWhenUsed/>
    <w:qFormat/>
    <w:uiPriority w:val="99"/>
    <w:pPr>
      <w:snapToGrid w:val="0"/>
      <w:jc w:val="left"/>
    </w:pPr>
    <w:rPr>
      <w:sz w:val="18"/>
      <w:szCs w:val="18"/>
    </w:rPr>
  </w:style>
  <w:style w:type="paragraph" w:styleId="11">
    <w:name w:val="Title"/>
    <w:basedOn w:val="1"/>
    <w:next w:val="1"/>
    <w:link w:val="30"/>
    <w:qFormat/>
    <w:uiPriority w:val="10"/>
    <w:pPr>
      <w:spacing w:before="240" w:after="60"/>
      <w:jc w:val="center"/>
      <w:outlineLvl w:val="0"/>
    </w:pPr>
    <w:rPr>
      <w:rFonts w:eastAsia="宋体" w:asciiTheme="majorHAnsi" w:hAnsiTheme="majorHAnsi" w:cstheme="majorBidi"/>
      <w:b/>
      <w:bCs/>
      <w:sz w:val="32"/>
      <w:szCs w:val="32"/>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99"/>
  </w:style>
  <w:style w:type="character" w:styleId="16">
    <w:name w:val="annotation reference"/>
    <w:basedOn w:val="14"/>
    <w:semiHidden/>
    <w:unhideWhenUsed/>
    <w:qFormat/>
    <w:uiPriority w:val="99"/>
    <w:rPr>
      <w:sz w:val="21"/>
      <w:szCs w:val="21"/>
    </w:rPr>
  </w:style>
  <w:style w:type="character" w:styleId="17">
    <w:name w:val="footnote reference"/>
    <w:basedOn w:val="14"/>
    <w:semiHidden/>
    <w:unhideWhenUsed/>
    <w:qFormat/>
    <w:uiPriority w:val="99"/>
    <w:rPr>
      <w:vertAlign w:val="superscript"/>
    </w:rPr>
  </w:style>
  <w:style w:type="character" w:customStyle="1" w:styleId="18">
    <w:name w:val="页眉 字符"/>
    <w:basedOn w:val="14"/>
    <w:link w:val="9"/>
    <w:qFormat/>
    <w:uiPriority w:val="99"/>
    <w:rPr>
      <w:sz w:val="18"/>
      <w:szCs w:val="18"/>
    </w:rPr>
  </w:style>
  <w:style w:type="character" w:customStyle="1" w:styleId="19">
    <w:name w:val="页脚 字符"/>
    <w:basedOn w:val="14"/>
    <w:link w:val="8"/>
    <w:qFormat/>
    <w:uiPriority w:val="99"/>
    <w:rPr>
      <w:sz w:val="18"/>
      <w:szCs w:val="18"/>
    </w:rPr>
  </w:style>
  <w:style w:type="paragraph" w:styleId="20">
    <w:name w:val="List Paragraph"/>
    <w:basedOn w:val="1"/>
    <w:qFormat/>
    <w:uiPriority w:val="34"/>
    <w:pPr>
      <w:ind w:firstLine="420" w:firstLineChars="200"/>
    </w:pPr>
  </w:style>
  <w:style w:type="character" w:customStyle="1" w:styleId="21">
    <w:name w:val="标题 1 字符"/>
    <w:basedOn w:val="14"/>
    <w:link w:val="2"/>
    <w:qFormat/>
    <w:uiPriority w:val="9"/>
    <w:rPr>
      <w:b/>
      <w:bCs/>
      <w:kern w:val="44"/>
      <w:sz w:val="44"/>
      <w:szCs w:val="44"/>
    </w:rPr>
  </w:style>
  <w:style w:type="character" w:customStyle="1" w:styleId="22">
    <w:name w:val="标题 2 字符"/>
    <w:basedOn w:val="14"/>
    <w:link w:val="3"/>
    <w:qFormat/>
    <w:uiPriority w:val="9"/>
    <w:rPr>
      <w:rFonts w:asciiTheme="majorHAnsi" w:hAnsiTheme="majorHAnsi" w:eastAsiaTheme="majorEastAsia" w:cstheme="majorBidi"/>
      <w:b/>
      <w:bCs/>
      <w:sz w:val="32"/>
      <w:szCs w:val="32"/>
    </w:rPr>
  </w:style>
  <w:style w:type="character" w:customStyle="1" w:styleId="23">
    <w:name w:val="标题 3 字符"/>
    <w:basedOn w:val="14"/>
    <w:link w:val="4"/>
    <w:qFormat/>
    <w:uiPriority w:val="9"/>
    <w:rPr>
      <w:b/>
      <w:bCs/>
      <w:sz w:val="32"/>
      <w:szCs w:val="32"/>
    </w:rPr>
  </w:style>
  <w:style w:type="paragraph" w:customStyle="1" w:styleId="24">
    <w:name w:val="段"/>
    <w:link w:val="25"/>
    <w:qFormat/>
    <w:uiPriority w:val="99"/>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character" w:customStyle="1" w:styleId="25">
    <w:name w:val="段 Char"/>
    <w:basedOn w:val="14"/>
    <w:link w:val="24"/>
    <w:qFormat/>
    <w:locked/>
    <w:uiPriority w:val="99"/>
    <w:rPr>
      <w:rFonts w:ascii="宋体" w:hAnsi="Times New Roman" w:eastAsia="宋体" w:cs="宋体"/>
      <w:kern w:val="0"/>
      <w:szCs w:val="21"/>
    </w:rPr>
  </w:style>
  <w:style w:type="paragraph" w:customStyle="1" w:styleId="26">
    <w:name w:val="CM49"/>
    <w:basedOn w:val="1"/>
    <w:next w:val="1"/>
    <w:qFormat/>
    <w:uiPriority w:val="0"/>
    <w:pPr>
      <w:autoSpaceDE w:val="0"/>
      <w:autoSpaceDN w:val="0"/>
      <w:adjustRightInd w:val="0"/>
      <w:spacing w:after="305"/>
      <w:jc w:val="left"/>
    </w:pPr>
    <w:rPr>
      <w:rFonts w:ascii="宋体" w:hAnsi="Times New Roman" w:eastAsia="宋体" w:cs="宋体"/>
      <w:kern w:val="0"/>
      <w:sz w:val="24"/>
      <w:szCs w:val="24"/>
    </w:rPr>
  </w:style>
  <w:style w:type="character" w:customStyle="1" w:styleId="27">
    <w:name w:val="批注框文本 字符"/>
    <w:basedOn w:val="14"/>
    <w:link w:val="7"/>
    <w:semiHidden/>
    <w:qFormat/>
    <w:uiPriority w:val="99"/>
    <w:rPr>
      <w:sz w:val="18"/>
      <w:szCs w:val="18"/>
    </w:rPr>
  </w:style>
  <w:style w:type="character" w:customStyle="1" w:styleId="28">
    <w:name w:val="脚注文本 字符"/>
    <w:basedOn w:val="14"/>
    <w:link w:val="10"/>
    <w:semiHidden/>
    <w:qFormat/>
    <w:uiPriority w:val="99"/>
    <w:rPr>
      <w:sz w:val="18"/>
      <w:szCs w:val="18"/>
    </w:rPr>
  </w:style>
  <w:style w:type="character" w:customStyle="1" w:styleId="29">
    <w:name w:val="批注文字 字符"/>
    <w:basedOn w:val="14"/>
    <w:link w:val="5"/>
    <w:semiHidden/>
    <w:qFormat/>
    <w:uiPriority w:val="99"/>
  </w:style>
  <w:style w:type="character" w:customStyle="1" w:styleId="30">
    <w:name w:val="标题 字符"/>
    <w:basedOn w:val="14"/>
    <w:link w:val="11"/>
    <w:qFormat/>
    <w:uiPriority w:val="10"/>
    <w:rPr>
      <w:rFonts w:eastAsia="宋体" w:asciiTheme="majorHAnsi" w:hAnsiTheme="majorHAnsi" w:cstheme="majorBidi"/>
      <w:b/>
      <w:bCs/>
      <w:sz w:val="32"/>
      <w:szCs w:val="32"/>
    </w:rPr>
  </w:style>
  <w:style w:type="character" w:customStyle="1" w:styleId="31">
    <w:name w:val="正文文本 字符"/>
    <w:basedOn w:val="14"/>
    <w:link w:val="6"/>
    <w:qFormat/>
    <w:uiPriority w:val="1"/>
    <w:rPr>
      <w:rFonts w:ascii="宋体" w:hAnsi="宋体" w:eastAsia="宋体" w:cs="宋体"/>
      <w:kern w:val="0"/>
      <w:sz w:val="32"/>
      <w:szCs w:val="3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2014-02-18T00:00:00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Normal.dotm</Template>
  <Company>http://www.deepbbs.org</Company>
  <Pages>6</Pages>
  <Words>2789</Words>
  <Characters>3131</Characters>
  <Lines>23</Lines>
  <Paragraphs>6</Paragraphs>
  <TotalTime>0</TotalTime>
  <ScaleCrop>false</ScaleCrop>
  <LinksUpToDate>false</LinksUpToDate>
  <CharactersWithSpaces>3186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2014-02-18T02:12:00Z</dcterms:created>
  <dc:creator>deeplm</dc:creator>
  <cp:lastModifiedBy>momo</cp:lastModifiedBy>
  <cp:lastPrinted>2014-03-17T03:12:00Z</cp:lastPrinted>
  <dcterms:modified xsi:type="dcterms:W3CDTF">2026-07-13T07:54:36Z</dcterms:modified>
  <dc:title>认可程序说明和背景介绍</dc:title>
  <cp:revision>203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eyJoZGlkIjoiZTk2MjMzMDU2MGYxYTJiMTM5YWVmNmYxZWI1OTU3NzUiLCJ1c2VySWQiOiIxNTc4NjQxMzMwIn0=</vt:lpwstr>
  </property>
  <property fmtid="{D5CDD505-2E9C-101B-9397-08002B2CF9AE}" pid="3" name="KSOProductBuildVer">
    <vt:lpwstr>2052-12.1.0.25225</vt:lpwstr>
  </property>
  <property fmtid="{D5CDD505-2E9C-101B-9397-08002B2CF9AE}" pid="4" name="ICV">
    <vt:lpwstr>92E11124750B4986BB0337F331991277_12</vt:lpwstr>
  </property>
</Properties>
</file>